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EF2F" w14:textId="77777777" w:rsidR="000023CB" w:rsidRPr="003330F3" w:rsidRDefault="000023CB" w:rsidP="003330F3">
      <w:pPr>
        <w:spacing w:after="0" w:line="360" w:lineRule="auto"/>
        <w:rPr>
          <w:rFonts w:ascii="Arial" w:hAnsi="Arial" w:cs="Arial"/>
          <w:b/>
          <w:lang w:val="es-ES"/>
        </w:rPr>
      </w:pPr>
      <w:r w:rsidRPr="003330F3">
        <w:rPr>
          <w:rFonts w:ascii="Arial" w:hAnsi="Arial" w:cs="Arial"/>
          <w:b/>
          <w:lang w:val="es-ES"/>
        </w:rPr>
        <w:t xml:space="preserve">Calificación de la contingencia. </w:t>
      </w:r>
    </w:p>
    <w:p w14:paraId="2921C746" w14:textId="77777777" w:rsidR="000023CB" w:rsidRPr="003330F3" w:rsidRDefault="000023CB" w:rsidP="003330F3">
      <w:pPr>
        <w:spacing w:after="0" w:line="360" w:lineRule="auto"/>
        <w:rPr>
          <w:rFonts w:ascii="Arial" w:hAnsi="Arial" w:cs="Arial"/>
          <w:lang w:val="es-ES"/>
        </w:rPr>
      </w:pPr>
    </w:p>
    <w:p w14:paraId="0FE6A32C" w14:textId="77777777" w:rsidR="000023CB" w:rsidRPr="003330F3" w:rsidRDefault="000023CB" w:rsidP="003330F3">
      <w:pPr>
        <w:spacing w:after="0" w:line="360" w:lineRule="auto"/>
        <w:jc w:val="both"/>
        <w:rPr>
          <w:rFonts w:ascii="Arial" w:hAnsi="Arial" w:cs="Arial"/>
          <w:lang w:val="es-ES"/>
        </w:rPr>
      </w:pPr>
      <w:r w:rsidRPr="003330F3">
        <w:rPr>
          <w:rFonts w:ascii="Arial" w:hAnsi="Arial" w:cs="Arial"/>
          <w:lang w:val="es-ES"/>
        </w:rPr>
        <w:t xml:space="preserve">La contingencia se califica como </w:t>
      </w:r>
      <w:r w:rsidR="00EA52CF" w:rsidRPr="003330F3">
        <w:rPr>
          <w:rFonts w:ascii="Arial" w:hAnsi="Arial" w:cs="Arial"/>
          <w:b/>
          <w:u w:val="single"/>
          <w:lang w:val="es-ES"/>
        </w:rPr>
        <w:t>PROBABLE</w:t>
      </w:r>
      <w:r w:rsidR="00EA52CF" w:rsidRPr="003330F3">
        <w:rPr>
          <w:rFonts w:ascii="Arial" w:hAnsi="Arial" w:cs="Arial"/>
          <w:lang w:val="es-ES"/>
        </w:rPr>
        <w:t xml:space="preserve"> </w:t>
      </w:r>
      <w:r w:rsidRPr="003330F3">
        <w:rPr>
          <w:rFonts w:ascii="Arial" w:hAnsi="Arial" w:cs="Arial"/>
          <w:lang w:val="es-ES"/>
        </w:rPr>
        <w:t>toda vez que</w:t>
      </w:r>
      <w:r w:rsidR="00EA52CF" w:rsidRPr="003330F3">
        <w:rPr>
          <w:rFonts w:ascii="Arial" w:hAnsi="Arial" w:cs="Arial"/>
          <w:lang w:val="es-ES"/>
        </w:rPr>
        <w:t xml:space="preserve"> </w:t>
      </w:r>
      <w:r w:rsidRPr="003330F3">
        <w:rPr>
          <w:rFonts w:ascii="Arial" w:hAnsi="Arial" w:cs="Arial"/>
          <w:lang w:val="es-ES"/>
        </w:rPr>
        <w:t xml:space="preserve">la póliza No. </w:t>
      </w:r>
      <w:r w:rsidR="000D6517" w:rsidRPr="003330F3">
        <w:rPr>
          <w:rFonts w:ascii="Arial" w:hAnsi="Arial" w:cs="Arial"/>
          <w:lang w:val="es-ES"/>
        </w:rPr>
        <w:t xml:space="preserve">AA006852 </w:t>
      </w:r>
      <w:r w:rsidRPr="003330F3">
        <w:rPr>
          <w:rFonts w:ascii="Arial" w:hAnsi="Arial" w:cs="Arial"/>
          <w:lang w:val="es-ES"/>
        </w:rPr>
        <w:t>presta cobertura temporal y material, la responsabilidad del asegurado se e</w:t>
      </w:r>
      <w:r w:rsidR="00EA52CF" w:rsidRPr="003330F3">
        <w:rPr>
          <w:rFonts w:ascii="Arial" w:hAnsi="Arial" w:cs="Arial"/>
          <w:lang w:val="es-ES"/>
        </w:rPr>
        <w:t xml:space="preserve">ncuentra plenamente acreditada y no se configura el fenómeno de la prescripción. </w:t>
      </w:r>
    </w:p>
    <w:p w14:paraId="1E0E8130" w14:textId="77777777" w:rsidR="000023CB" w:rsidRPr="003330F3" w:rsidRDefault="000023CB" w:rsidP="003330F3">
      <w:pPr>
        <w:spacing w:after="0" w:line="360" w:lineRule="auto"/>
        <w:rPr>
          <w:rFonts w:ascii="Arial" w:hAnsi="Arial" w:cs="Arial"/>
          <w:highlight w:val="yellow"/>
          <w:lang w:val="es-ES"/>
        </w:rPr>
      </w:pPr>
    </w:p>
    <w:p w14:paraId="2D7EDCBD" w14:textId="77777777" w:rsidR="000023CB" w:rsidRPr="003330F3" w:rsidRDefault="000023CB" w:rsidP="003330F3">
      <w:pPr>
        <w:spacing w:after="0" w:line="360" w:lineRule="auto"/>
        <w:jc w:val="both"/>
        <w:rPr>
          <w:rFonts w:ascii="Arial" w:hAnsi="Arial" w:cs="Arial"/>
          <w:lang w:val="es-ES"/>
        </w:rPr>
      </w:pPr>
      <w:r w:rsidRPr="003330F3">
        <w:rPr>
          <w:rFonts w:ascii="Arial" w:hAnsi="Arial" w:cs="Arial"/>
          <w:lang w:val="es-ES"/>
        </w:rPr>
        <w:t xml:space="preserve">Lo primero que debe tenerse en cuenta es que la póliza No. </w:t>
      </w:r>
      <w:r w:rsidR="000D6517" w:rsidRPr="003330F3">
        <w:rPr>
          <w:rFonts w:ascii="Arial" w:hAnsi="Arial" w:cs="Arial"/>
          <w:lang w:val="es-ES"/>
        </w:rPr>
        <w:t xml:space="preserve">AA006852 </w:t>
      </w:r>
      <w:r w:rsidRPr="003330F3">
        <w:rPr>
          <w:rFonts w:ascii="Arial" w:hAnsi="Arial" w:cs="Arial"/>
          <w:b/>
          <w:u w:val="single"/>
          <w:lang w:val="es-ES"/>
        </w:rPr>
        <w:t>presta cobertura temporal</w:t>
      </w:r>
      <w:r w:rsidRPr="003330F3">
        <w:rPr>
          <w:rFonts w:ascii="Arial" w:hAnsi="Arial" w:cs="Arial"/>
          <w:lang w:val="es-ES"/>
        </w:rPr>
        <w:t xml:space="preserve">, ya que los hechos objeto de la presente demanda ocurrieron el </w:t>
      </w:r>
      <w:r w:rsidR="000D6517" w:rsidRPr="003330F3">
        <w:rPr>
          <w:rFonts w:ascii="Arial" w:hAnsi="Arial" w:cs="Arial"/>
          <w:lang w:val="es-ES"/>
        </w:rPr>
        <w:t>28 de diciembre de 2016</w:t>
      </w:r>
      <w:r w:rsidRPr="003330F3">
        <w:rPr>
          <w:rFonts w:ascii="Arial" w:hAnsi="Arial" w:cs="Arial"/>
          <w:lang w:val="es-ES"/>
        </w:rPr>
        <w:t xml:space="preserve"> y el contrato de seguro tenía </w:t>
      </w:r>
      <w:r w:rsidR="000D6517" w:rsidRPr="003330F3">
        <w:rPr>
          <w:rFonts w:ascii="Arial" w:hAnsi="Arial" w:cs="Arial"/>
          <w:lang w:val="es-ES"/>
        </w:rPr>
        <w:t xml:space="preserve">una vigencia comprendida entre </w:t>
      </w:r>
      <w:r w:rsidRPr="003330F3">
        <w:rPr>
          <w:rFonts w:ascii="Arial" w:hAnsi="Arial" w:cs="Arial"/>
          <w:lang w:val="es-ES"/>
        </w:rPr>
        <w:t xml:space="preserve">7 de </w:t>
      </w:r>
      <w:r w:rsidR="000D6517" w:rsidRPr="003330F3">
        <w:rPr>
          <w:rFonts w:ascii="Arial" w:hAnsi="Arial" w:cs="Arial"/>
          <w:lang w:val="es-ES"/>
        </w:rPr>
        <w:t>octubre</w:t>
      </w:r>
      <w:r w:rsidRPr="003330F3">
        <w:rPr>
          <w:rFonts w:ascii="Arial" w:hAnsi="Arial" w:cs="Arial"/>
          <w:lang w:val="es-ES"/>
        </w:rPr>
        <w:t xml:space="preserve"> de 20</w:t>
      </w:r>
      <w:r w:rsidR="000D6517" w:rsidRPr="003330F3">
        <w:rPr>
          <w:rFonts w:ascii="Arial" w:hAnsi="Arial" w:cs="Arial"/>
          <w:lang w:val="es-ES"/>
        </w:rPr>
        <w:t xml:space="preserve">16 y el </w:t>
      </w:r>
      <w:r w:rsidRPr="003330F3">
        <w:rPr>
          <w:rFonts w:ascii="Arial" w:hAnsi="Arial" w:cs="Arial"/>
          <w:lang w:val="es-ES"/>
        </w:rPr>
        <w:t xml:space="preserve">7 de </w:t>
      </w:r>
      <w:r w:rsidR="000D6517" w:rsidRPr="003330F3">
        <w:rPr>
          <w:rFonts w:ascii="Arial" w:hAnsi="Arial" w:cs="Arial"/>
          <w:lang w:val="es-ES"/>
        </w:rPr>
        <w:t>octubre</w:t>
      </w:r>
      <w:r w:rsidRPr="003330F3">
        <w:rPr>
          <w:rFonts w:ascii="Arial" w:hAnsi="Arial" w:cs="Arial"/>
          <w:lang w:val="es-ES"/>
        </w:rPr>
        <w:t xml:space="preserve"> de 20</w:t>
      </w:r>
      <w:r w:rsidR="000D6517" w:rsidRPr="003330F3">
        <w:rPr>
          <w:rFonts w:ascii="Arial" w:hAnsi="Arial" w:cs="Arial"/>
          <w:lang w:val="es-ES"/>
        </w:rPr>
        <w:t>17</w:t>
      </w:r>
      <w:r w:rsidRPr="003330F3">
        <w:rPr>
          <w:rFonts w:ascii="Arial" w:hAnsi="Arial" w:cs="Arial"/>
          <w:lang w:val="es-ES"/>
        </w:rPr>
        <w:t xml:space="preserve">, en modalidad ocurrencia, es decir, que los hechos tuvieron lugar durante su vigencia. </w:t>
      </w:r>
      <w:r w:rsidRPr="003330F3">
        <w:rPr>
          <w:rFonts w:ascii="Arial" w:hAnsi="Arial" w:cs="Arial"/>
          <w:b/>
          <w:u w:val="single"/>
          <w:lang w:val="es-ES"/>
        </w:rPr>
        <w:t>También prestan cobertura material</w:t>
      </w:r>
      <w:r w:rsidRPr="003330F3">
        <w:rPr>
          <w:rFonts w:ascii="Arial" w:hAnsi="Arial" w:cs="Arial"/>
          <w:lang w:val="es-ES"/>
        </w:rPr>
        <w:t xml:space="preserve">, ya que contiene el amparo de responsabilidad civil extracontractual, que es precisamente la pretensión que </w:t>
      </w:r>
      <w:r w:rsidR="000D6517" w:rsidRPr="003330F3">
        <w:rPr>
          <w:rFonts w:ascii="Arial" w:hAnsi="Arial" w:cs="Arial"/>
          <w:lang w:val="es-ES"/>
        </w:rPr>
        <w:t>la demandante endilga</w:t>
      </w:r>
      <w:r w:rsidRPr="003330F3">
        <w:rPr>
          <w:rFonts w:ascii="Arial" w:hAnsi="Arial" w:cs="Arial"/>
          <w:lang w:val="es-ES"/>
        </w:rPr>
        <w:t xml:space="preserve"> a los demandados.</w:t>
      </w:r>
    </w:p>
    <w:p w14:paraId="76E71161" w14:textId="77777777" w:rsidR="00EC6A0E" w:rsidRPr="003330F3" w:rsidRDefault="00EC6A0E" w:rsidP="003330F3">
      <w:pPr>
        <w:spacing w:after="0" w:line="360" w:lineRule="auto"/>
        <w:jc w:val="both"/>
        <w:rPr>
          <w:rFonts w:ascii="Arial" w:hAnsi="Arial" w:cs="Arial"/>
          <w:lang w:val="es-ES"/>
        </w:rPr>
      </w:pPr>
    </w:p>
    <w:p w14:paraId="1992A476" w14:textId="02B7F24F" w:rsidR="00EA52CF" w:rsidRDefault="000D6517" w:rsidP="00FA67B7">
      <w:pPr>
        <w:shd w:val="clear" w:color="auto" w:fill="FFFFFF"/>
        <w:spacing w:after="0" w:line="360" w:lineRule="auto"/>
        <w:jc w:val="both"/>
        <w:rPr>
          <w:rFonts w:ascii="Arial" w:hAnsi="Arial" w:cs="Arial"/>
          <w:lang w:val="es-ES"/>
        </w:rPr>
      </w:pPr>
      <w:r w:rsidRPr="003330F3">
        <w:rPr>
          <w:rFonts w:ascii="Arial" w:hAnsi="Arial" w:cs="Arial"/>
          <w:lang w:val="es-ES"/>
        </w:rPr>
        <w:t>Sobre la p</w:t>
      </w:r>
      <w:r w:rsidR="00EC6A0E" w:rsidRPr="003330F3">
        <w:rPr>
          <w:rFonts w:ascii="Arial" w:hAnsi="Arial" w:cs="Arial"/>
          <w:lang w:val="es-ES"/>
        </w:rPr>
        <w:t xml:space="preserve">rescripción </w:t>
      </w:r>
      <w:r w:rsidRPr="003330F3">
        <w:rPr>
          <w:rFonts w:ascii="Arial" w:hAnsi="Arial" w:cs="Arial"/>
          <w:lang w:val="es-ES"/>
        </w:rPr>
        <w:t xml:space="preserve">inicialmente se debe advertir que en la contestación de la demanda se formuló la ordinaria del contrato de seguro, es decir, la de dos (2) años. Lo anterior argumentando que la demandante conocía de la existencia de la póliza desde la fecha de ocurrencia del siniestro. Sin embargo, </w:t>
      </w:r>
      <w:r w:rsidR="00C4373D">
        <w:rPr>
          <w:rFonts w:ascii="Arial" w:hAnsi="Arial" w:cs="Arial"/>
          <w:lang w:val="es-ES"/>
        </w:rPr>
        <w:t xml:space="preserve">de acuerdo con lo previsto en el Art. 1081 y 1131 del C. Co. y teniendo en cuenta que quien solicitó la vinculación de la Compañía en este proceso fue la víctima directa (tercero), </w:t>
      </w:r>
      <w:r w:rsidRPr="003330F3">
        <w:rPr>
          <w:rFonts w:ascii="Arial" w:hAnsi="Arial" w:cs="Arial"/>
          <w:lang w:val="es-ES"/>
        </w:rPr>
        <w:t xml:space="preserve">deberá aplicarse la </w:t>
      </w:r>
      <w:r w:rsidR="00C4373D">
        <w:rPr>
          <w:rFonts w:ascii="Arial" w:hAnsi="Arial" w:cs="Arial"/>
          <w:lang w:val="es-ES"/>
        </w:rPr>
        <w:t xml:space="preserve">prescripción </w:t>
      </w:r>
      <w:r w:rsidRPr="003330F3">
        <w:rPr>
          <w:rFonts w:ascii="Arial" w:hAnsi="Arial" w:cs="Arial"/>
          <w:lang w:val="es-ES"/>
        </w:rPr>
        <w:t>extraordinaria de cinco (5) años</w:t>
      </w:r>
      <w:r w:rsidR="00C4373D">
        <w:rPr>
          <w:rFonts w:ascii="Arial" w:hAnsi="Arial" w:cs="Arial"/>
          <w:lang w:val="es-ES"/>
        </w:rPr>
        <w:t xml:space="preserve">. </w:t>
      </w:r>
      <w:r w:rsidR="00632517" w:rsidRPr="003330F3">
        <w:rPr>
          <w:rFonts w:ascii="Arial" w:hAnsi="Arial" w:cs="Arial"/>
          <w:lang w:val="es-ES"/>
        </w:rPr>
        <w:t xml:space="preserve">Por lo anterior, se deberán analizar los hitos temporales, así:  </w:t>
      </w:r>
    </w:p>
    <w:p w14:paraId="29BBFDD6" w14:textId="77777777" w:rsidR="003330F3" w:rsidRPr="003330F3" w:rsidRDefault="003330F3" w:rsidP="00FA67B7">
      <w:pPr>
        <w:shd w:val="clear" w:color="auto" w:fill="FFFFFF"/>
        <w:spacing w:after="0" w:line="360" w:lineRule="auto"/>
        <w:jc w:val="both"/>
        <w:rPr>
          <w:rFonts w:ascii="Arial" w:hAnsi="Arial" w:cs="Arial"/>
          <w:lang w:val="es-ES"/>
        </w:rPr>
      </w:pPr>
    </w:p>
    <w:tbl>
      <w:tblPr>
        <w:tblStyle w:val="Tablaconcuadrcula"/>
        <w:tblW w:w="0" w:type="auto"/>
        <w:tblLook w:val="04A0" w:firstRow="1" w:lastRow="0" w:firstColumn="1" w:lastColumn="0" w:noHBand="0" w:noVBand="1"/>
      </w:tblPr>
      <w:tblGrid>
        <w:gridCol w:w="2942"/>
        <w:gridCol w:w="2943"/>
        <w:gridCol w:w="2943"/>
      </w:tblGrid>
      <w:tr w:rsidR="00632517" w:rsidRPr="00FA67B7" w14:paraId="20B9F572" w14:textId="77777777" w:rsidTr="00A94C30">
        <w:tc>
          <w:tcPr>
            <w:tcW w:w="2942" w:type="dxa"/>
          </w:tcPr>
          <w:p w14:paraId="2C05D2B6" w14:textId="77777777" w:rsidR="00632517" w:rsidRPr="00FA67B7" w:rsidRDefault="00632517">
            <w:pPr>
              <w:spacing w:line="360" w:lineRule="auto"/>
              <w:jc w:val="both"/>
              <w:rPr>
                <w:rFonts w:ascii="Arial" w:hAnsi="Arial" w:cs="Arial"/>
              </w:rPr>
            </w:pPr>
            <w:r w:rsidRPr="00FA67B7">
              <w:rPr>
                <w:rFonts w:ascii="Arial" w:hAnsi="Arial" w:cs="Arial"/>
              </w:rPr>
              <w:t>Fecha de ocurrencia de los hechos.</w:t>
            </w:r>
          </w:p>
        </w:tc>
        <w:tc>
          <w:tcPr>
            <w:tcW w:w="2943" w:type="dxa"/>
          </w:tcPr>
          <w:p w14:paraId="76714D08" w14:textId="77777777" w:rsidR="00632517" w:rsidRPr="00FA67B7" w:rsidRDefault="00632517">
            <w:pPr>
              <w:spacing w:line="360" w:lineRule="auto"/>
              <w:jc w:val="center"/>
              <w:rPr>
                <w:rFonts w:ascii="Arial" w:hAnsi="Arial" w:cs="Arial"/>
                <w:b/>
              </w:rPr>
            </w:pPr>
            <w:r w:rsidRPr="00FA67B7">
              <w:rPr>
                <w:rFonts w:ascii="Arial" w:hAnsi="Arial" w:cs="Arial"/>
                <w:b/>
              </w:rPr>
              <w:t>28 de diciembre de 2016</w:t>
            </w:r>
          </w:p>
        </w:tc>
        <w:tc>
          <w:tcPr>
            <w:tcW w:w="2943" w:type="dxa"/>
          </w:tcPr>
          <w:p w14:paraId="73A51F98" w14:textId="77777777" w:rsidR="00632517" w:rsidRPr="00FA67B7" w:rsidRDefault="00632517">
            <w:pPr>
              <w:spacing w:line="360" w:lineRule="auto"/>
              <w:jc w:val="both"/>
              <w:rPr>
                <w:rFonts w:ascii="Arial" w:hAnsi="Arial" w:cs="Arial"/>
              </w:rPr>
            </w:pPr>
            <w:r w:rsidRPr="00FA67B7">
              <w:rPr>
                <w:rFonts w:ascii="Arial" w:hAnsi="Arial" w:cs="Arial"/>
              </w:rPr>
              <w:t xml:space="preserve">Momento a partir del cual inicial el término de prescripción, es decir, hasta el 28 de diciembre de 2021.  </w:t>
            </w:r>
          </w:p>
        </w:tc>
      </w:tr>
      <w:tr w:rsidR="00632517" w:rsidRPr="00FA67B7" w14:paraId="194905C2" w14:textId="77777777" w:rsidTr="00A94C30">
        <w:tc>
          <w:tcPr>
            <w:tcW w:w="2942" w:type="dxa"/>
          </w:tcPr>
          <w:p w14:paraId="1909C732" w14:textId="77777777" w:rsidR="00632517" w:rsidRPr="00FA67B7" w:rsidRDefault="00632517">
            <w:pPr>
              <w:spacing w:line="360" w:lineRule="auto"/>
              <w:jc w:val="both"/>
              <w:rPr>
                <w:rFonts w:ascii="Arial" w:hAnsi="Arial" w:cs="Arial"/>
              </w:rPr>
            </w:pPr>
            <w:r w:rsidRPr="00FA67B7">
              <w:rPr>
                <w:rFonts w:ascii="Arial" w:hAnsi="Arial" w:cs="Arial"/>
              </w:rPr>
              <w:t>Suspensión de términos de prescripción y caducidad por pandemia del Covid-19.</w:t>
            </w:r>
          </w:p>
        </w:tc>
        <w:tc>
          <w:tcPr>
            <w:tcW w:w="2943" w:type="dxa"/>
          </w:tcPr>
          <w:p w14:paraId="272B8628" w14:textId="77777777" w:rsidR="00632517" w:rsidRPr="00FA67B7" w:rsidRDefault="00632517">
            <w:pPr>
              <w:spacing w:line="360" w:lineRule="auto"/>
              <w:jc w:val="center"/>
              <w:rPr>
                <w:rFonts w:ascii="Arial" w:hAnsi="Arial" w:cs="Arial"/>
                <w:b/>
              </w:rPr>
            </w:pPr>
            <w:r w:rsidRPr="00FA67B7">
              <w:rPr>
                <w:rFonts w:ascii="Arial" w:hAnsi="Arial" w:cs="Arial"/>
                <w:b/>
              </w:rPr>
              <w:t>Desde el 16 de marzo de 2020 y hasta el 30 de junio de 2020</w:t>
            </w:r>
          </w:p>
        </w:tc>
        <w:tc>
          <w:tcPr>
            <w:tcW w:w="2943" w:type="dxa"/>
          </w:tcPr>
          <w:p w14:paraId="4BC680D3" w14:textId="77777777" w:rsidR="00632517" w:rsidRPr="00FA67B7" w:rsidRDefault="00632517">
            <w:pPr>
              <w:spacing w:line="360" w:lineRule="auto"/>
              <w:jc w:val="both"/>
              <w:rPr>
                <w:rFonts w:ascii="Arial" w:hAnsi="Arial" w:cs="Arial"/>
              </w:rPr>
            </w:pPr>
            <w:r w:rsidRPr="00FA67B7">
              <w:rPr>
                <w:rFonts w:ascii="Arial" w:hAnsi="Arial" w:cs="Arial"/>
              </w:rPr>
              <w:t>Término suspendido por tres (3) meses y quince (15) días, reanudándose el término de prescripción el 1 de julio de 2020.</w:t>
            </w:r>
          </w:p>
        </w:tc>
      </w:tr>
      <w:tr w:rsidR="00632517" w:rsidRPr="00FA67B7" w14:paraId="54D6C7E0" w14:textId="77777777" w:rsidTr="00A94C30">
        <w:tc>
          <w:tcPr>
            <w:tcW w:w="2942" w:type="dxa"/>
          </w:tcPr>
          <w:p w14:paraId="216E948F" w14:textId="77777777" w:rsidR="00632517" w:rsidRPr="00FA67B7" w:rsidRDefault="00632517">
            <w:pPr>
              <w:spacing w:line="360" w:lineRule="auto"/>
              <w:jc w:val="both"/>
              <w:rPr>
                <w:rFonts w:ascii="Arial" w:hAnsi="Arial" w:cs="Arial"/>
              </w:rPr>
            </w:pPr>
            <w:r w:rsidRPr="00FA67B7">
              <w:rPr>
                <w:rFonts w:ascii="Arial" w:hAnsi="Arial" w:cs="Arial"/>
              </w:rPr>
              <w:t>Fecha límite para presentar la demanda.</w:t>
            </w:r>
          </w:p>
        </w:tc>
        <w:tc>
          <w:tcPr>
            <w:tcW w:w="2943" w:type="dxa"/>
          </w:tcPr>
          <w:p w14:paraId="2A45E474" w14:textId="77777777" w:rsidR="00632517" w:rsidRPr="00FA67B7" w:rsidRDefault="00632517">
            <w:pPr>
              <w:spacing w:line="360" w:lineRule="auto"/>
              <w:jc w:val="center"/>
              <w:rPr>
                <w:rFonts w:ascii="Arial" w:hAnsi="Arial" w:cs="Arial"/>
                <w:b/>
              </w:rPr>
            </w:pPr>
            <w:r w:rsidRPr="00FA67B7">
              <w:rPr>
                <w:rFonts w:ascii="Arial" w:hAnsi="Arial" w:cs="Arial"/>
                <w:b/>
              </w:rPr>
              <w:t>1</w:t>
            </w:r>
            <w:r w:rsidR="003D05FC" w:rsidRPr="00FA67B7">
              <w:rPr>
                <w:rFonts w:ascii="Arial" w:hAnsi="Arial" w:cs="Arial"/>
                <w:b/>
              </w:rPr>
              <w:t>8</w:t>
            </w:r>
            <w:r w:rsidRPr="00FA67B7">
              <w:rPr>
                <w:rFonts w:ascii="Arial" w:hAnsi="Arial" w:cs="Arial"/>
                <w:b/>
              </w:rPr>
              <w:t xml:space="preserve"> de </w:t>
            </w:r>
            <w:r w:rsidR="003D05FC" w:rsidRPr="00FA67B7">
              <w:rPr>
                <w:rFonts w:ascii="Arial" w:hAnsi="Arial" w:cs="Arial"/>
                <w:b/>
              </w:rPr>
              <w:t>abril de 2022</w:t>
            </w:r>
          </w:p>
        </w:tc>
        <w:tc>
          <w:tcPr>
            <w:tcW w:w="2943" w:type="dxa"/>
          </w:tcPr>
          <w:p w14:paraId="5659F9F3" w14:textId="77777777" w:rsidR="00632517" w:rsidRPr="00FA67B7" w:rsidRDefault="003D05FC">
            <w:pPr>
              <w:spacing w:line="360" w:lineRule="auto"/>
              <w:jc w:val="both"/>
              <w:rPr>
                <w:rFonts w:ascii="Arial" w:hAnsi="Arial" w:cs="Arial"/>
              </w:rPr>
            </w:pPr>
            <w:r w:rsidRPr="00FA67B7">
              <w:rPr>
                <w:rFonts w:ascii="Arial" w:hAnsi="Arial" w:cs="Arial"/>
              </w:rPr>
              <w:t>Pues la</w:t>
            </w:r>
            <w:r w:rsidR="00632517" w:rsidRPr="00FA67B7">
              <w:rPr>
                <w:rFonts w:ascii="Arial" w:hAnsi="Arial" w:cs="Arial"/>
              </w:rPr>
              <w:t xml:space="preserve"> demand</w:t>
            </w:r>
            <w:r w:rsidRPr="00FA67B7">
              <w:rPr>
                <w:rFonts w:ascii="Arial" w:hAnsi="Arial" w:cs="Arial"/>
              </w:rPr>
              <w:t>ante tenía</w:t>
            </w:r>
            <w:r w:rsidR="00632517" w:rsidRPr="00FA67B7">
              <w:rPr>
                <w:rFonts w:ascii="Arial" w:hAnsi="Arial" w:cs="Arial"/>
              </w:rPr>
              <w:t xml:space="preserve"> suspendido el término de prescripción por tr</w:t>
            </w:r>
            <w:r w:rsidRPr="00FA67B7">
              <w:rPr>
                <w:rFonts w:ascii="Arial" w:hAnsi="Arial" w:cs="Arial"/>
              </w:rPr>
              <w:t xml:space="preserve">es (3) </w:t>
            </w:r>
            <w:r w:rsidRPr="00FA67B7">
              <w:rPr>
                <w:rFonts w:ascii="Arial" w:hAnsi="Arial" w:cs="Arial"/>
              </w:rPr>
              <w:lastRenderedPageBreak/>
              <w:t xml:space="preserve">meses y quince (15) días y, además, la fecha real de presentación de la demanda era el 12 de abril de 2022, pero como era semana santa, se corre hasta el siguiente día hábil, es decir, 18 de abril de 2022. </w:t>
            </w:r>
            <w:r w:rsidR="00632517" w:rsidRPr="00FA67B7">
              <w:rPr>
                <w:rFonts w:ascii="Arial" w:hAnsi="Arial" w:cs="Arial"/>
              </w:rPr>
              <w:t xml:space="preserve"> </w:t>
            </w:r>
          </w:p>
        </w:tc>
      </w:tr>
      <w:tr w:rsidR="00632517" w:rsidRPr="00FA67B7" w14:paraId="64A23DE1" w14:textId="77777777" w:rsidTr="00A94C30">
        <w:tc>
          <w:tcPr>
            <w:tcW w:w="2942" w:type="dxa"/>
          </w:tcPr>
          <w:p w14:paraId="4EBECC18" w14:textId="77777777" w:rsidR="00632517" w:rsidRPr="00FA67B7" w:rsidRDefault="00632517">
            <w:pPr>
              <w:spacing w:line="360" w:lineRule="auto"/>
              <w:jc w:val="both"/>
              <w:rPr>
                <w:rFonts w:ascii="Arial" w:hAnsi="Arial" w:cs="Arial"/>
              </w:rPr>
            </w:pPr>
            <w:r w:rsidRPr="00FA67B7">
              <w:rPr>
                <w:rFonts w:ascii="Arial" w:hAnsi="Arial" w:cs="Arial"/>
              </w:rPr>
              <w:lastRenderedPageBreak/>
              <w:t xml:space="preserve">Fecha de presentación de la demanda. </w:t>
            </w:r>
          </w:p>
        </w:tc>
        <w:tc>
          <w:tcPr>
            <w:tcW w:w="2943" w:type="dxa"/>
          </w:tcPr>
          <w:p w14:paraId="08A887E5" w14:textId="77777777" w:rsidR="00632517" w:rsidRPr="00FA67B7" w:rsidRDefault="003D05FC">
            <w:pPr>
              <w:spacing w:line="360" w:lineRule="auto"/>
              <w:jc w:val="center"/>
              <w:rPr>
                <w:rFonts w:ascii="Arial" w:hAnsi="Arial" w:cs="Arial"/>
                <w:b/>
              </w:rPr>
            </w:pPr>
            <w:r w:rsidRPr="00FA67B7">
              <w:rPr>
                <w:rFonts w:ascii="Arial" w:hAnsi="Arial" w:cs="Arial"/>
                <w:b/>
              </w:rPr>
              <w:t>12 de enero de 2022</w:t>
            </w:r>
          </w:p>
        </w:tc>
        <w:tc>
          <w:tcPr>
            <w:tcW w:w="2943" w:type="dxa"/>
          </w:tcPr>
          <w:p w14:paraId="44720122" w14:textId="77777777" w:rsidR="00632517" w:rsidRPr="00FA67B7" w:rsidRDefault="00632517">
            <w:pPr>
              <w:spacing w:line="360" w:lineRule="auto"/>
              <w:jc w:val="both"/>
              <w:rPr>
                <w:rFonts w:ascii="Arial" w:hAnsi="Arial" w:cs="Arial"/>
              </w:rPr>
            </w:pPr>
            <w:r w:rsidRPr="00FA67B7">
              <w:rPr>
                <w:rFonts w:ascii="Arial" w:hAnsi="Arial" w:cs="Arial"/>
              </w:rPr>
              <w:t>Se presentó la demanda</w:t>
            </w:r>
            <w:r w:rsidR="003D05FC" w:rsidRPr="00FA67B7">
              <w:rPr>
                <w:rFonts w:ascii="Arial" w:hAnsi="Arial" w:cs="Arial"/>
              </w:rPr>
              <w:t xml:space="preserve"> antes del término de prescripción. </w:t>
            </w:r>
            <w:r w:rsidRPr="00FA67B7">
              <w:rPr>
                <w:rFonts w:ascii="Arial" w:hAnsi="Arial" w:cs="Arial"/>
              </w:rPr>
              <w:t xml:space="preserve"> </w:t>
            </w:r>
          </w:p>
        </w:tc>
      </w:tr>
    </w:tbl>
    <w:p w14:paraId="3F2CDA59" w14:textId="77777777" w:rsidR="00667A2A" w:rsidRPr="003330F3" w:rsidRDefault="00667A2A" w:rsidP="00FA67B7">
      <w:pPr>
        <w:shd w:val="clear" w:color="auto" w:fill="FFFFFF"/>
        <w:spacing w:after="0" w:line="360" w:lineRule="auto"/>
        <w:jc w:val="both"/>
        <w:rPr>
          <w:rFonts w:ascii="Arial" w:hAnsi="Arial" w:cs="Arial"/>
          <w:lang w:val="es-CO"/>
        </w:rPr>
      </w:pPr>
    </w:p>
    <w:p w14:paraId="36C15A9B" w14:textId="77777777" w:rsidR="00982757" w:rsidRDefault="00982757" w:rsidP="00FA67B7">
      <w:pPr>
        <w:shd w:val="clear" w:color="auto" w:fill="FFFFFF"/>
        <w:spacing w:after="0" w:line="360" w:lineRule="auto"/>
        <w:jc w:val="both"/>
        <w:rPr>
          <w:rFonts w:ascii="Arial" w:hAnsi="Arial" w:cs="Arial"/>
          <w:lang w:val="es-CO"/>
        </w:rPr>
      </w:pPr>
      <w:r w:rsidRPr="003330F3">
        <w:rPr>
          <w:rFonts w:ascii="Arial" w:hAnsi="Arial" w:cs="Arial"/>
          <w:lang w:val="es-CO"/>
        </w:rPr>
        <w:t xml:space="preserve">En conclusión, no se configura el fenómeno de la prescripción toda vez que la demanda fue presentada dentro del término. </w:t>
      </w:r>
    </w:p>
    <w:p w14:paraId="32BDB0B8" w14:textId="77777777" w:rsidR="00086EF8" w:rsidRPr="003330F3" w:rsidRDefault="00086EF8" w:rsidP="00FA67B7">
      <w:pPr>
        <w:shd w:val="clear" w:color="auto" w:fill="FFFFFF"/>
        <w:spacing w:after="0" w:line="360" w:lineRule="auto"/>
        <w:jc w:val="both"/>
        <w:rPr>
          <w:rFonts w:ascii="Arial" w:hAnsi="Arial" w:cs="Arial"/>
          <w:lang w:val="es-CO"/>
        </w:rPr>
      </w:pPr>
    </w:p>
    <w:p w14:paraId="32315677" w14:textId="77777777" w:rsidR="003C6D04" w:rsidRPr="003330F3" w:rsidRDefault="000023CB">
      <w:pPr>
        <w:spacing w:after="0" w:line="360" w:lineRule="auto"/>
        <w:jc w:val="both"/>
        <w:rPr>
          <w:rFonts w:ascii="Arial" w:hAnsi="Arial" w:cs="Arial"/>
          <w:lang w:val="es-ES"/>
        </w:rPr>
      </w:pPr>
      <w:r w:rsidRPr="003330F3">
        <w:rPr>
          <w:rFonts w:ascii="Arial" w:hAnsi="Arial" w:cs="Arial"/>
          <w:lang w:val="es-ES"/>
        </w:rPr>
        <w:t xml:space="preserve">Lo anteriormente esgrimido debe ser analizado de manera conjunta con el estudio de la responsabilidad del asegurado, </w:t>
      </w:r>
      <w:r w:rsidR="004D3A64" w:rsidRPr="003330F3">
        <w:rPr>
          <w:rFonts w:ascii="Arial" w:hAnsi="Arial" w:cs="Arial"/>
          <w:lang w:val="es-ES"/>
        </w:rPr>
        <w:t xml:space="preserve">la cual </w:t>
      </w:r>
      <w:r w:rsidR="004D3A64" w:rsidRPr="003330F3">
        <w:rPr>
          <w:rFonts w:ascii="Arial" w:hAnsi="Arial" w:cs="Arial"/>
          <w:b/>
          <w:u w:val="single"/>
          <w:lang w:val="es-ES"/>
        </w:rPr>
        <w:t>se encuentra plenamente acreditada</w:t>
      </w:r>
      <w:r w:rsidR="004D3A64" w:rsidRPr="003330F3">
        <w:rPr>
          <w:rFonts w:ascii="Arial" w:hAnsi="Arial" w:cs="Arial"/>
          <w:lang w:val="es-ES"/>
        </w:rPr>
        <w:t xml:space="preserve">. </w:t>
      </w:r>
      <w:r w:rsidRPr="003330F3">
        <w:rPr>
          <w:rFonts w:ascii="Arial" w:hAnsi="Arial" w:cs="Arial"/>
          <w:lang w:val="es-ES"/>
        </w:rPr>
        <w:t xml:space="preserve">De acuerdo a los medios de prueba obrantes en el proceso, se concluye que: </w:t>
      </w:r>
      <w:r w:rsidRPr="003330F3">
        <w:rPr>
          <w:rFonts w:ascii="Arial" w:hAnsi="Arial" w:cs="Arial"/>
          <w:b/>
          <w:lang w:val="es-ES"/>
        </w:rPr>
        <w:t>(i)</w:t>
      </w:r>
      <w:r w:rsidRPr="003330F3">
        <w:rPr>
          <w:rFonts w:ascii="Arial" w:hAnsi="Arial" w:cs="Arial"/>
          <w:lang w:val="es-ES"/>
        </w:rPr>
        <w:t xml:space="preserve"> El IPAT </w:t>
      </w:r>
      <w:r w:rsidR="001D292B" w:rsidRPr="003330F3">
        <w:rPr>
          <w:rFonts w:ascii="Arial" w:hAnsi="Arial" w:cs="Arial"/>
          <w:lang w:val="es-ES"/>
        </w:rPr>
        <w:t>codifica únicamente al vehículo asegurado con la hipótesis 202 “fallas en los frenos”;</w:t>
      </w:r>
      <w:r w:rsidRPr="003330F3">
        <w:rPr>
          <w:rFonts w:ascii="Arial" w:hAnsi="Arial" w:cs="Arial"/>
          <w:lang w:val="es-ES"/>
        </w:rPr>
        <w:t xml:space="preserve"> </w:t>
      </w:r>
      <w:r w:rsidRPr="003330F3">
        <w:rPr>
          <w:rFonts w:ascii="Arial" w:hAnsi="Arial" w:cs="Arial"/>
          <w:b/>
          <w:lang w:val="es-ES"/>
        </w:rPr>
        <w:t>(ii)</w:t>
      </w:r>
      <w:r w:rsidRPr="003330F3">
        <w:rPr>
          <w:rFonts w:ascii="Arial" w:hAnsi="Arial" w:cs="Arial"/>
          <w:lang w:val="es-ES"/>
        </w:rPr>
        <w:t xml:space="preserve"> </w:t>
      </w:r>
      <w:r w:rsidR="001D292B" w:rsidRPr="003330F3">
        <w:rPr>
          <w:rFonts w:ascii="Arial" w:hAnsi="Arial" w:cs="Arial"/>
          <w:lang w:val="es-ES"/>
        </w:rPr>
        <w:t>En el mismo documento se indica “</w:t>
      </w:r>
      <w:r w:rsidR="00DB0760" w:rsidRPr="003330F3">
        <w:rPr>
          <w:rFonts w:ascii="Arial" w:hAnsi="Arial" w:cs="Arial"/>
          <w:i/>
          <w:lang w:val="es-ES"/>
        </w:rPr>
        <w:t>Falla en frenos, daño repentino que presenta el vehículo durante el viaje en algún elemento del vehículo</w:t>
      </w:r>
      <w:r w:rsidR="00DB0760" w:rsidRPr="003330F3">
        <w:rPr>
          <w:rFonts w:ascii="Arial" w:hAnsi="Arial" w:cs="Arial"/>
          <w:lang w:val="es-ES"/>
        </w:rPr>
        <w:t xml:space="preserve">”; </w:t>
      </w:r>
      <w:r w:rsidRPr="003330F3">
        <w:rPr>
          <w:rFonts w:ascii="Arial" w:hAnsi="Arial" w:cs="Arial"/>
          <w:b/>
          <w:lang w:val="es-ES"/>
        </w:rPr>
        <w:t>(iii)</w:t>
      </w:r>
      <w:r w:rsidR="00EA52B2" w:rsidRPr="003330F3">
        <w:rPr>
          <w:rFonts w:ascii="Arial" w:hAnsi="Arial" w:cs="Arial"/>
          <w:b/>
          <w:lang w:val="es-ES"/>
        </w:rPr>
        <w:t xml:space="preserve"> </w:t>
      </w:r>
      <w:r w:rsidR="00DB0760" w:rsidRPr="003330F3">
        <w:rPr>
          <w:rFonts w:ascii="Arial" w:hAnsi="Arial" w:cs="Arial"/>
          <w:lang w:val="es-ES"/>
        </w:rPr>
        <w:t xml:space="preserve">El vehículo asegurado presentó daños en la parte frontal derecha y el vehículo donde se movilizaba la demandante presentó daños en la parte trasera izquierda, evidenciando que el choque lo produjo el vehículo asegurado; </w:t>
      </w:r>
      <w:r w:rsidR="00DB0760" w:rsidRPr="003330F3">
        <w:rPr>
          <w:rFonts w:ascii="Arial" w:hAnsi="Arial" w:cs="Arial"/>
          <w:b/>
          <w:lang w:val="es-ES"/>
        </w:rPr>
        <w:t>(iv)</w:t>
      </w:r>
      <w:r w:rsidR="00DB0760" w:rsidRPr="003330F3">
        <w:rPr>
          <w:rFonts w:ascii="Arial" w:hAnsi="Arial" w:cs="Arial"/>
          <w:lang w:val="es-ES"/>
        </w:rPr>
        <w:t xml:space="preserve"> Las características de la vía donde ocurrieron los hechos era: recta, pendiente, con andén, doble sentido, una calzada, dos carriles, en asfalto, buen estado, seca, con iluminación artificial buena y condición climática normal, por lo tanto, de ninguna manera se puede exonerar de responsabilidad por el estado de la vía; </w:t>
      </w:r>
      <w:r w:rsidR="00DB0760" w:rsidRPr="003330F3">
        <w:rPr>
          <w:rFonts w:ascii="Arial" w:hAnsi="Arial" w:cs="Arial"/>
          <w:b/>
          <w:lang w:val="es-ES"/>
        </w:rPr>
        <w:t>(v)</w:t>
      </w:r>
      <w:r w:rsidR="00DB0760" w:rsidRPr="003330F3">
        <w:rPr>
          <w:rFonts w:ascii="Arial" w:hAnsi="Arial" w:cs="Arial"/>
          <w:lang w:val="es-ES"/>
        </w:rPr>
        <w:t xml:space="preserve"> En el mismo IPAT quedó plasmada la versión de los hechos dada por el conductor del vehículo asegurado, en la cual dijo que </w:t>
      </w:r>
      <w:r w:rsidR="00425D56" w:rsidRPr="003330F3">
        <w:rPr>
          <w:rFonts w:ascii="Arial" w:hAnsi="Arial" w:cs="Arial"/>
          <w:lang w:val="es-ES"/>
        </w:rPr>
        <w:t xml:space="preserve">fallaron los frenos del vehículo que conducía; </w:t>
      </w:r>
      <w:r w:rsidR="00425D56" w:rsidRPr="003330F3">
        <w:rPr>
          <w:rFonts w:ascii="Arial" w:hAnsi="Arial" w:cs="Arial"/>
          <w:b/>
          <w:lang w:val="es-ES"/>
        </w:rPr>
        <w:t>(vi)</w:t>
      </w:r>
      <w:r w:rsidR="00425D56" w:rsidRPr="003330F3">
        <w:rPr>
          <w:rFonts w:ascii="Arial" w:hAnsi="Arial" w:cs="Arial"/>
          <w:lang w:val="es-ES"/>
        </w:rPr>
        <w:t xml:space="preserve"> El proceso penal está inactivo por conducta atípica; </w:t>
      </w:r>
      <w:r w:rsidR="00425D56" w:rsidRPr="003330F3">
        <w:rPr>
          <w:rFonts w:ascii="Arial" w:hAnsi="Arial" w:cs="Arial"/>
          <w:b/>
          <w:lang w:val="es-ES"/>
        </w:rPr>
        <w:t>(vii)</w:t>
      </w:r>
      <w:r w:rsidR="00425D56" w:rsidRPr="003330F3">
        <w:rPr>
          <w:rFonts w:ascii="Arial" w:hAnsi="Arial" w:cs="Arial"/>
          <w:lang w:val="es-ES"/>
        </w:rPr>
        <w:t xml:space="preserve"> </w:t>
      </w:r>
      <w:r w:rsidR="00667A2A" w:rsidRPr="003330F3">
        <w:rPr>
          <w:rFonts w:ascii="Arial" w:hAnsi="Arial" w:cs="Arial"/>
          <w:lang w:val="es-ES"/>
        </w:rPr>
        <w:t>En la demanda se solicita el testimonio del funcionario que elaboró el IPAT, quien podría ratificar su contenido. Si bien en la demanda se alegó la configuración de un caso fortuito</w:t>
      </w:r>
      <w:r w:rsidR="003C6D04" w:rsidRPr="003330F3">
        <w:rPr>
          <w:rFonts w:ascii="Arial" w:hAnsi="Arial" w:cs="Arial"/>
          <w:lang w:val="es-ES"/>
        </w:rPr>
        <w:t xml:space="preserve"> como eximente de responsabilidad</w:t>
      </w:r>
      <w:r w:rsidR="00667A2A" w:rsidRPr="003330F3">
        <w:rPr>
          <w:rFonts w:ascii="Arial" w:hAnsi="Arial" w:cs="Arial"/>
          <w:lang w:val="es-ES"/>
        </w:rPr>
        <w:t xml:space="preserve">, lo cierto es que la falla en los frenos de un vehículo es un evento perfectamente previsible, </w:t>
      </w:r>
      <w:r w:rsidR="003C6D04" w:rsidRPr="003330F3">
        <w:rPr>
          <w:rFonts w:ascii="Arial" w:hAnsi="Arial" w:cs="Arial"/>
          <w:lang w:val="es-ES"/>
        </w:rPr>
        <w:t>prevenible y</w:t>
      </w:r>
      <w:r w:rsidR="00667A2A" w:rsidRPr="003330F3">
        <w:rPr>
          <w:rFonts w:ascii="Arial" w:hAnsi="Arial" w:cs="Arial"/>
          <w:lang w:val="es-ES"/>
        </w:rPr>
        <w:t xml:space="preserve"> evitable</w:t>
      </w:r>
      <w:r w:rsidR="003C6D04" w:rsidRPr="003330F3">
        <w:rPr>
          <w:rFonts w:ascii="Arial" w:hAnsi="Arial" w:cs="Arial"/>
          <w:lang w:val="es-ES"/>
        </w:rPr>
        <w:t>,</w:t>
      </w:r>
      <w:r w:rsidR="00667A2A" w:rsidRPr="003330F3">
        <w:rPr>
          <w:rFonts w:ascii="Arial" w:hAnsi="Arial" w:cs="Arial"/>
          <w:lang w:val="es-ES"/>
        </w:rPr>
        <w:t xml:space="preserve"> además de ser </w:t>
      </w:r>
      <w:r w:rsidR="00667A2A" w:rsidRPr="003330F3">
        <w:rPr>
          <w:rFonts w:ascii="Arial" w:hAnsi="Arial" w:cs="Arial"/>
          <w:lang w:val="es-ES"/>
        </w:rPr>
        <w:lastRenderedPageBreak/>
        <w:t>común o propio a la conducción de los vehículos, por lo tanto,</w:t>
      </w:r>
      <w:r w:rsidR="003C6D04" w:rsidRPr="003330F3">
        <w:rPr>
          <w:rFonts w:ascii="Arial" w:hAnsi="Arial" w:cs="Arial"/>
          <w:lang w:val="es-ES"/>
        </w:rPr>
        <w:t xml:space="preserve"> no se trata de un hecho desconocido o ajeno. Observándose configurada la responsabilidad civil de la pasiva.</w:t>
      </w:r>
      <w:r w:rsidR="006F3A60" w:rsidRPr="003330F3">
        <w:rPr>
          <w:rFonts w:ascii="Arial" w:hAnsi="Arial" w:cs="Arial"/>
          <w:lang w:val="es-ES"/>
        </w:rPr>
        <w:t xml:space="preserve"> Tampoco se podrá indicar que incidió o concurrió la responsabilidad de un tercero (conductor de la motocicleta de placa XXO 63D) pues no se observa ninguna conducta reprochable en su contra, de hecho, también resultó afectado por el vehículo asegurado.  </w:t>
      </w:r>
      <w:r w:rsidR="003C6D04" w:rsidRPr="003330F3">
        <w:rPr>
          <w:rFonts w:ascii="Arial" w:hAnsi="Arial" w:cs="Arial"/>
          <w:lang w:val="es-ES"/>
        </w:rPr>
        <w:t xml:space="preserve">  </w:t>
      </w:r>
    </w:p>
    <w:p w14:paraId="29CEE1FB" w14:textId="77777777" w:rsidR="00106BEF" w:rsidRPr="003330F3" w:rsidRDefault="003C6D04">
      <w:pPr>
        <w:spacing w:after="0" w:line="360" w:lineRule="auto"/>
        <w:jc w:val="both"/>
        <w:rPr>
          <w:rFonts w:ascii="Arial" w:hAnsi="Arial" w:cs="Arial"/>
          <w:lang w:val="es-ES"/>
        </w:rPr>
      </w:pPr>
      <w:r w:rsidRPr="003330F3">
        <w:rPr>
          <w:rFonts w:ascii="Arial" w:hAnsi="Arial" w:cs="Arial"/>
          <w:lang w:val="es-ES"/>
        </w:rPr>
        <w:t xml:space="preserve"> </w:t>
      </w:r>
      <w:r w:rsidR="00667A2A" w:rsidRPr="003330F3">
        <w:rPr>
          <w:rFonts w:ascii="Arial" w:hAnsi="Arial" w:cs="Arial"/>
          <w:lang w:val="es-ES"/>
        </w:rPr>
        <w:t xml:space="preserve"> </w:t>
      </w:r>
    </w:p>
    <w:p w14:paraId="00C0305B" w14:textId="77777777" w:rsidR="009B0F7E" w:rsidRPr="003330F3" w:rsidRDefault="000023CB">
      <w:pPr>
        <w:spacing w:after="0" w:line="360" w:lineRule="auto"/>
        <w:rPr>
          <w:rFonts w:ascii="Arial" w:hAnsi="Arial" w:cs="Arial"/>
          <w:lang w:val="es-ES"/>
        </w:rPr>
      </w:pPr>
      <w:r w:rsidRPr="003330F3">
        <w:rPr>
          <w:rFonts w:ascii="Arial" w:hAnsi="Arial" w:cs="Arial"/>
          <w:lang w:val="es-ES"/>
        </w:rPr>
        <w:t>Lo anterior sin perjuicio del carácter contingente del proceso.</w:t>
      </w:r>
    </w:p>
    <w:p w14:paraId="680BC230" w14:textId="77777777" w:rsidR="00106BEF" w:rsidRPr="003330F3" w:rsidRDefault="00106BEF">
      <w:pPr>
        <w:spacing w:after="0" w:line="360" w:lineRule="auto"/>
        <w:rPr>
          <w:rFonts w:ascii="Arial" w:hAnsi="Arial" w:cs="Arial"/>
          <w:lang w:val="es-ES"/>
        </w:rPr>
      </w:pPr>
    </w:p>
    <w:p w14:paraId="26258EF2" w14:textId="77777777" w:rsidR="000023CB" w:rsidRDefault="00106BEF">
      <w:pPr>
        <w:spacing w:after="0" w:line="360" w:lineRule="auto"/>
        <w:rPr>
          <w:rFonts w:ascii="Arial" w:hAnsi="Arial" w:cs="Arial"/>
          <w:b/>
          <w:lang w:val="es-ES"/>
        </w:rPr>
      </w:pPr>
      <w:r w:rsidRPr="003330F3">
        <w:rPr>
          <w:rFonts w:ascii="Arial" w:hAnsi="Arial" w:cs="Arial"/>
          <w:b/>
          <w:lang w:val="es-ES"/>
        </w:rPr>
        <w:t xml:space="preserve">Liquidación objetiva. </w:t>
      </w:r>
    </w:p>
    <w:p w14:paraId="09E9A140" w14:textId="77777777" w:rsidR="00712E17" w:rsidRPr="003330F3" w:rsidRDefault="00712E17">
      <w:pPr>
        <w:spacing w:after="0" w:line="360" w:lineRule="auto"/>
        <w:rPr>
          <w:rFonts w:ascii="Arial" w:hAnsi="Arial" w:cs="Arial"/>
          <w:b/>
          <w:lang w:val="es-ES"/>
        </w:rPr>
      </w:pPr>
    </w:p>
    <w:p w14:paraId="62DBC4BA" w14:textId="5D457519" w:rsidR="000023CB" w:rsidRPr="003330F3" w:rsidRDefault="000023CB">
      <w:pPr>
        <w:spacing w:after="0" w:line="360" w:lineRule="auto"/>
        <w:jc w:val="both"/>
        <w:rPr>
          <w:rFonts w:ascii="Arial" w:hAnsi="Arial" w:cs="Arial"/>
          <w:lang w:val="es-ES"/>
        </w:rPr>
      </w:pPr>
      <w:r w:rsidRPr="003330F3">
        <w:rPr>
          <w:rFonts w:ascii="Arial" w:hAnsi="Arial" w:cs="Arial"/>
          <w:lang w:val="es-ES"/>
        </w:rPr>
        <w:t xml:space="preserve">Como liquidación objetiva de perjuicios se tiene la suma de </w:t>
      </w:r>
      <w:r w:rsidR="004D19DB" w:rsidRPr="003330F3">
        <w:rPr>
          <w:rFonts w:ascii="Arial" w:hAnsi="Arial" w:cs="Arial"/>
          <w:b/>
          <w:lang w:val="es-ES"/>
        </w:rPr>
        <w:t xml:space="preserve">$ </w:t>
      </w:r>
      <w:r w:rsidR="001D3FAA" w:rsidRPr="001D3FAA">
        <w:rPr>
          <w:rFonts w:ascii="Arial" w:hAnsi="Arial" w:cs="Arial"/>
          <w:b/>
          <w:lang w:val="es-ES"/>
        </w:rPr>
        <w:t>68.945.400</w:t>
      </w:r>
      <w:bookmarkStart w:id="0" w:name="_GoBack"/>
      <w:bookmarkEnd w:id="0"/>
      <w:r w:rsidRPr="003330F3">
        <w:rPr>
          <w:rFonts w:ascii="Arial" w:hAnsi="Arial" w:cs="Arial"/>
          <w:lang w:val="es-ES"/>
        </w:rPr>
        <w:t>, valor al que se llegó de la siguiente manera:</w:t>
      </w:r>
    </w:p>
    <w:p w14:paraId="2417016B" w14:textId="77777777" w:rsidR="000023CB" w:rsidRPr="003330F3" w:rsidRDefault="000023CB">
      <w:pPr>
        <w:spacing w:after="0" w:line="360" w:lineRule="auto"/>
        <w:rPr>
          <w:rFonts w:ascii="Arial" w:hAnsi="Arial" w:cs="Arial"/>
          <w:lang w:val="es-ES"/>
        </w:rPr>
      </w:pPr>
    </w:p>
    <w:p w14:paraId="219E244A" w14:textId="65D76E07" w:rsidR="00712E17" w:rsidRDefault="000023CB">
      <w:pPr>
        <w:spacing w:after="0" w:line="360" w:lineRule="auto"/>
        <w:jc w:val="both"/>
        <w:rPr>
          <w:rFonts w:ascii="Arial" w:hAnsi="Arial" w:cs="Arial"/>
          <w:lang w:val="es-ES"/>
        </w:rPr>
      </w:pPr>
      <w:r w:rsidRPr="003330F3">
        <w:rPr>
          <w:rFonts w:ascii="Arial" w:hAnsi="Arial" w:cs="Arial"/>
          <w:b/>
          <w:u w:val="single"/>
          <w:lang w:val="es-ES"/>
        </w:rPr>
        <w:t>Daño moral</w:t>
      </w:r>
      <w:r w:rsidRPr="003330F3">
        <w:rPr>
          <w:rFonts w:ascii="Arial" w:hAnsi="Arial" w:cs="Arial"/>
          <w:b/>
          <w:lang w:val="es-ES"/>
        </w:rPr>
        <w:t>:</w:t>
      </w:r>
      <w:r w:rsidRPr="003330F3">
        <w:rPr>
          <w:rFonts w:ascii="Arial" w:hAnsi="Arial" w:cs="Arial"/>
          <w:lang w:val="es-ES"/>
        </w:rPr>
        <w:t xml:space="preserve"> se reconoce la suma total de </w:t>
      </w:r>
      <w:r w:rsidR="00CE3DB8" w:rsidRPr="003330F3">
        <w:rPr>
          <w:rFonts w:ascii="Arial" w:hAnsi="Arial" w:cs="Arial"/>
          <w:b/>
          <w:lang w:val="es-ES"/>
        </w:rPr>
        <w:t>$ 15</w:t>
      </w:r>
      <w:r w:rsidRPr="003330F3">
        <w:rPr>
          <w:rFonts w:ascii="Arial" w:hAnsi="Arial" w:cs="Arial"/>
          <w:b/>
          <w:lang w:val="es-ES"/>
        </w:rPr>
        <w:t>.000.000</w:t>
      </w:r>
      <w:r w:rsidR="00CE3DB8" w:rsidRPr="003330F3">
        <w:rPr>
          <w:rFonts w:ascii="Arial" w:hAnsi="Arial" w:cs="Arial"/>
          <w:b/>
          <w:lang w:val="es-ES"/>
        </w:rPr>
        <w:t xml:space="preserve"> </w:t>
      </w:r>
      <w:r w:rsidR="00CE3DB8" w:rsidRPr="003330F3">
        <w:rPr>
          <w:rFonts w:ascii="Arial" w:hAnsi="Arial" w:cs="Arial"/>
          <w:lang w:val="es-ES"/>
        </w:rPr>
        <w:t xml:space="preserve">a favor de la señora Danilsa María Díaz Licona. </w:t>
      </w:r>
      <w:r w:rsidRPr="003330F3">
        <w:rPr>
          <w:rFonts w:ascii="Arial" w:hAnsi="Arial" w:cs="Arial"/>
          <w:lang w:val="es-ES"/>
        </w:rPr>
        <w:t xml:space="preserve">Se llegó a tal liquidación teniendo en cuenta que: </w:t>
      </w:r>
      <w:r w:rsidRPr="003330F3">
        <w:rPr>
          <w:rFonts w:ascii="Arial" w:hAnsi="Arial" w:cs="Arial"/>
          <w:b/>
          <w:lang w:val="es-ES"/>
        </w:rPr>
        <w:t>(i)</w:t>
      </w:r>
      <w:r w:rsidRPr="003330F3">
        <w:rPr>
          <w:rFonts w:ascii="Arial" w:hAnsi="Arial" w:cs="Arial"/>
          <w:lang w:val="es-ES"/>
        </w:rPr>
        <w:t xml:space="preserve"> Se allega</w:t>
      </w:r>
      <w:r w:rsidR="00403028" w:rsidRPr="003330F3">
        <w:rPr>
          <w:rFonts w:ascii="Arial" w:hAnsi="Arial" w:cs="Arial"/>
          <w:lang w:val="es-ES"/>
        </w:rPr>
        <w:t>n varios i</w:t>
      </w:r>
      <w:r w:rsidRPr="003330F3">
        <w:rPr>
          <w:rFonts w:ascii="Arial" w:hAnsi="Arial" w:cs="Arial"/>
          <w:lang w:val="es-ES"/>
        </w:rPr>
        <w:t>nforme</w:t>
      </w:r>
      <w:r w:rsidR="00403028" w:rsidRPr="003330F3">
        <w:rPr>
          <w:rFonts w:ascii="Arial" w:hAnsi="Arial" w:cs="Arial"/>
          <w:lang w:val="es-ES"/>
        </w:rPr>
        <w:t>s</w:t>
      </w:r>
      <w:r w:rsidRPr="003330F3">
        <w:rPr>
          <w:rFonts w:ascii="Arial" w:hAnsi="Arial" w:cs="Arial"/>
          <w:lang w:val="es-ES"/>
        </w:rPr>
        <w:t xml:space="preserve"> pericial</w:t>
      </w:r>
      <w:r w:rsidR="00403028" w:rsidRPr="003330F3">
        <w:rPr>
          <w:rFonts w:ascii="Arial" w:hAnsi="Arial" w:cs="Arial"/>
          <w:lang w:val="es-ES"/>
        </w:rPr>
        <w:t>es</w:t>
      </w:r>
      <w:r w:rsidRPr="003330F3">
        <w:rPr>
          <w:rFonts w:ascii="Arial" w:hAnsi="Arial" w:cs="Arial"/>
          <w:lang w:val="es-ES"/>
        </w:rPr>
        <w:t xml:space="preserve"> del Instituto Nacional de Medicina</w:t>
      </w:r>
      <w:r w:rsidR="00403028" w:rsidRPr="003330F3">
        <w:rPr>
          <w:rFonts w:ascii="Arial" w:hAnsi="Arial" w:cs="Arial"/>
          <w:lang w:val="es-ES"/>
        </w:rPr>
        <w:t xml:space="preserve"> Legal y Ciencias Forenses en los</w:t>
      </w:r>
      <w:r w:rsidRPr="003330F3">
        <w:rPr>
          <w:rFonts w:ascii="Arial" w:hAnsi="Arial" w:cs="Arial"/>
          <w:lang w:val="es-ES"/>
        </w:rPr>
        <w:t xml:space="preserve"> que se observa incapacidad médico legal </w:t>
      </w:r>
      <w:r w:rsidR="00403028" w:rsidRPr="003330F3">
        <w:rPr>
          <w:rFonts w:ascii="Arial" w:hAnsi="Arial" w:cs="Arial"/>
          <w:lang w:val="es-ES"/>
        </w:rPr>
        <w:t>definitiva</w:t>
      </w:r>
      <w:r w:rsidRPr="003330F3">
        <w:rPr>
          <w:rFonts w:ascii="Arial" w:hAnsi="Arial" w:cs="Arial"/>
          <w:lang w:val="es-ES"/>
        </w:rPr>
        <w:t xml:space="preserve"> de </w:t>
      </w:r>
      <w:r w:rsidR="00403028" w:rsidRPr="003330F3">
        <w:rPr>
          <w:rFonts w:ascii="Arial" w:hAnsi="Arial" w:cs="Arial"/>
          <w:lang w:val="es-ES"/>
        </w:rPr>
        <w:t>treinta y cinco (3</w:t>
      </w:r>
      <w:r w:rsidR="00CF0238" w:rsidRPr="003330F3">
        <w:rPr>
          <w:rFonts w:ascii="Arial" w:hAnsi="Arial" w:cs="Arial"/>
          <w:lang w:val="es-ES"/>
        </w:rPr>
        <w:t>5</w:t>
      </w:r>
      <w:r w:rsidRPr="003330F3">
        <w:rPr>
          <w:rFonts w:ascii="Arial" w:hAnsi="Arial" w:cs="Arial"/>
          <w:lang w:val="es-ES"/>
        </w:rPr>
        <w:t>) días</w:t>
      </w:r>
      <w:r w:rsidR="00403028" w:rsidRPr="003330F3">
        <w:rPr>
          <w:rFonts w:ascii="Arial" w:hAnsi="Arial" w:cs="Arial"/>
          <w:lang w:val="es-ES"/>
        </w:rPr>
        <w:t xml:space="preserve">, con secuelas médico legales: deformidad física que afecta el cuerpo de carácter permanente; perturbación funcional de órgano de la locomoción de carácter transitorio; perturbación funcional de miembro inferior derecho de carácter transitorio; Perturbación funcional de órgano de sistema nervioso periférico de carácter </w:t>
      </w:r>
      <w:r w:rsidR="00CE3DB8" w:rsidRPr="003330F3">
        <w:rPr>
          <w:rFonts w:ascii="Arial" w:hAnsi="Arial" w:cs="Arial"/>
          <w:lang w:val="es-ES"/>
        </w:rPr>
        <w:t>transitorio</w:t>
      </w:r>
      <w:r w:rsidRPr="003330F3">
        <w:rPr>
          <w:rFonts w:ascii="Arial" w:hAnsi="Arial" w:cs="Arial"/>
          <w:lang w:val="es-ES"/>
        </w:rPr>
        <w:t xml:space="preserve">; </w:t>
      </w:r>
      <w:r w:rsidR="00CE3DB8" w:rsidRPr="003330F3">
        <w:rPr>
          <w:rFonts w:ascii="Arial" w:hAnsi="Arial" w:cs="Arial"/>
          <w:b/>
          <w:lang w:val="es-ES"/>
        </w:rPr>
        <w:t>(i</w:t>
      </w:r>
      <w:r w:rsidRPr="003330F3">
        <w:rPr>
          <w:rFonts w:ascii="Arial" w:hAnsi="Arial" w:cs="Arial"/>
          <w:b/>
          <w:lang w:val="es-ES"/>
        </w:rPr>
        <w:t>i)</w:t>
      </w:r>
      <w:r w:rsidRPr="003330F3">
        <w:rPr>
          <w:rFonts w:ascii="Arial" w:hAnsi="Arial" w:cs="Arial"/>
          <w:lang w:val="es-ES"/>
        </w:rPr>
        <w:t xml:space="preserve"> La h</w:t>
      </w:r>
      <w:r w:rsidR="00CE3DB8" w:rsidRPr="003330F3">
        <w:rPr>
          <w:rFonts w:ascii="Arial" w:hAnsi="Arial" w:cs="Arial"/>
          <w:lang w:val="es-ES"/>
        </w:rPr>
        <w:t>istoria clínica aportada refleja: trauma en brazo izquierdo, mano izquierda, pie derecho, muslo derecho, rodilla derecha, pierna derecha, con herida magna de la pierna derecha con posterior dolor, edema y limitación funcional de áreas afectadas al examen, entre otros.</w:t>
      </w:r>
    </w:p>
    <w:p w14:paraId="4AE2EA1F" w14:textId="77777777" w:rsidR="00712E17" w:rsidRDefault="00712E17">
      <w:pPr>
        <w:spacing w:after="0" w:line="360" w:lineRule="auto"/>
        <w:jc w:val="both"/>
        <w:rPr>
          <w:rFonts w:ascii="Arial" w:hAnsi="Arial" w:cs="Arial"/>
          <w:lang w:val="es-ES"/>
        </w:rPr>
      </w:pPr>
    </w:p>
    <w:p w14:paraId="25F4A362" w14:textId="77777777" w:rsidR="000023CB" w:rsidRPr="003330F3" w:rsidRDefault="000023CB">
      <w:pPr>
        <w:spacing w:after="0" w:line="360" w:lineRule="auto"/>
        <w:jc w:val="both"/>
        <w:rPr>
          <w:rFonts w:ascii="Arial" w:hAnsi="Arial" w:cs="Arial"/>
          <w:lang w:val="es-ES"/>
        </w:rPr>
      </w:pPr>
      <w:r w:rsidRPr="003330F3">
        <w:rPr>
          <w:rFonts w:ascii="Arial" w:hAnsi="Arial" w:cs="Arial"/>
          <w:lang w:val="es-ES"/>
        </w:rPr>
        <w:t xml:space="preserve">El anterior valor tomando como referencia la sentencia </w:t>
      </w:r>
      <w:r w:rsidR="00CF0238" w:rsidRPr="003330F3">
        <w:rPr>
          <w:rFonts w:ascii="Arial" w:hAnsi="Arial" w:cs="Arial"/>
          <w:lang w:val="es-ES"/>
        </w:rPr>
        <w:t xml:space="preserve">SC5885-2016, 06/05/2016 </w:t>
      </w:r>
      <w:r w:rsidRPr="003330F3">
        <w:rPr>
          <w:rFonts w:ascii="Arial" w:hAnsi="Arial" w:cs="Arial"/>
          <w:lang w:val="es-ES"/>
        </w:rPr>
        <w:t xml:space="preserve">de la Corte Suprema de Justicia, en la que reconoció </w:t>
      </w:r>
      <w:r w:rsidR="00CF0238" w:rsidRPr="003330F3">
        <w:rPr>
          <w:rFonts w:ascii="Arial" w:hAnsi="Arial" w:cs="Arial"/>
          <w:lang w:val="es-ES"/>
        </w:rPr>
        <w:t xml:space="preserve">$ 15.000.000 </w:t>
      </w:r>
      <w:r w:rsidRPr="003330F3">
        <w:rPr>
          <w:rFonts w:ascii="Arial" w:hAnsi="Arial" w:cs="Arial"/>
          <w:lang w:val="es-ES"/>
        </w:rPr>
        <w:t xml:space="preserve">a la víctima directa </w:t>
      </w:r>
      <w:r w:rsidR="00CF0238" w:rsidRPr="003330F3">
        <w:rPr>
          <w:rFonts w:ascii="Arial" w:hAnsi="Arial" w:cs="Arial"/>
          <w:lang w:val="es-CO"/>
        </w:rPr>
        <w:t>a causa de la perturbación psíquica, deformidad física permanente y pérdida de su capacidad laboral en un 20.65 %, de estudiante universitaria menor de edad, generadas por la colisión entre vehículo de servicio público y la motocicleta que aquella conducía.</w:t>
      </w:r>
      <w:r w:rsidRPr="003330F3">
        <w:rPr>
          <w:rFonts w:ascii="Arial" w:hAnsi="Arial" w:cs="Arial"/>
          <w:lang w:val="es-ES"/>
        </w:rPr>
        <w:t xml:space="preserve"> </w:t>
      </w:r>
    </w:p>
    <w:p w14:paraId="352CB08F" w14:textId="77777777" w:rsidR="000023CB" w:rsidRPr="003330F3" w:rsidRDefault="000023CB">
      <w:pPr>
        <w:spacing w:after="0" w:line="360" w:lineRule="auto"/>
        <w:rPr>
          <w:rFonts w:ascii="Arial" w:hAnsi="Arial" w:cs="Arial"/>
          <w:lang w:val="es-ES"/>
        </w:rPr>
      </w:pPr>
    </w:p>
    <w:p w14:paraId="170A61C7" w14:textId="783D7025" w:rsidR="000023CB" w:rsidRDefault="000023CB" w:rsidP="00FA67B7">
      <w:pPr>
        <w:spacing w:after="0" w:line="360" w:lineRule="auto"/>
        <w:jc w:val="both"/>
        <w:rPr>
          <w:rFonts w:ascii="Arial" w:hAnsi="Arial" w:cs="Arial"/>
          <w:lang w:val="es-ES"/>
        </w:rPr>
      </w:pPr>
      <w:r w:rsidRPr="003330F3">
        <w:rPr>
          <w:rFonts w:ascii="Arial" w:hAnsi="Arial" w:cs="Arial"/>
          <w:b/>
          <w:u w:val="single"/>
          <w:lang w:val="es-ES"/>
        </w:rPr>
        <w:t>Daño a la vida de relación</w:t>
      </w:r>
      <w:r w:rsidRPr="003330F3">
        <w:rPr>
          <w:rFonts w:ascii="Arial" w:hAnsi="Arial" w:cs="Arial"/>
          <w:b/>
          <w:lang w:val="es-ES"/>
        </w:rPr>
        <w:t>:</w:t>
      </w:r>
      <w:r w:rsidR="003F157D" w:rsidRPr="003330F3">
        <w:rPr>
          <w:rFonts w:ascii="Arial" w:hAnsi="Arial" w:cs="Arial"/>
          <w:lang w:val="es-ES"/>
        </w:rPr>
        <w:t xml:space="preserve"> se reconoce la suma de </w:t>
      </w:r>
      <w:r w:rsidR="00CE3DB8" w:rsidRPr="003330F3">
        <w:rPr>
          <w:rFonts w:ascii="Arial" w:hAnsi="Arial" w:cs="Arial"/>
          <w:b/>
          <w:lang w:val="es-ES"/>
        </w:rPr>
        <w:t>$ 20</w:t>
      </w:r>
      <w:r w:rsidRPr="003330F3">
        <w:rPr>
          <w:rFonts w:ascii="Arial" w:hAnsi="Arial" w:cs="Arial"/>
          <w:b/>
          <w:lang w:val="es-ES"/>
        </w:rPr>
        <w:t>.000.000</w:t>
      </w:r>
      <w:r w:rsidRPr="003330F3">
        <w:rPr>
          <w:rFonts w:ascii="Arial" w:hAnsi="Arial" w:cs="Arial"/>
          <w:lang w:val="es-ES"/>
        </w:rPr>
        <w:t xml:space="preserve"> </w:t>
      </w:r>
      <w:r w:rsidR="00CE3DB8" w:rsidRPr="003330F3">
        <w:rPr>
          <w:rFonts w:ascii="Arial" w:hAnsi="Arial" w:cs="Arial"/>
          <w:lang w:val="es-ES"/>
        </w:rPr>
        <w:t>a favor de la señora Danilsa María Díaz Licona</w:t>
      </w:r>
      <w:r w:rsidRPr="003330F3">
        <w:rPr>
          <w:rFonts w:ascii="Arial" w:hAnsi="Arial" w:cs="Arial"/>
          <w:lang w:val="es-ES"/>
        </w:rPr>
        <w:t xml:space="preserve">. Lo anterior teniendo en cuenta que: </w:t>
      </w:r>
      <w:r w:rsidR="00CE3DB8" w:rsidRPr="003330F3">
        <w:rPr>
          <w:rFonts w:ascii="Arial" w:hAnsi="Arial" w:cs="Arial"/>
          <w:b/>
          <w:lang w:val="es-ES"/>
        </w:rPr>
        <w:t>(i)</w:t>
      </w:r>
      <w:r w:rsidR="00CE3DB8" w:rsidRPr="003330F3">
        <w:rPr>
          <w:rFonts w:ascii="Arial" w:hAnsi="Arial" w:cs="Arial"/>
          <w:lang w:val="es-ES"/>
        </w:rPr>
        <w:t xml:space="preserve"> Se allegan varios informes periciales del Instituto Nacional de Medicina Legal y Ciencias Forenses en los que </w:t>
      </w:r>
      <w:r w:rsidR="00CE3DB8" w:rsidRPr="003330F3">
        <w:rPr>
          <w:rFonts w:ascii="Arial" w:hAnsi="Arial" w:cs="Arial"/>
          <w:lang w:val="es-ES"/>
        </w:rPr>
        <w:lastRenderedPageBreak/>
        <w:t xml:space="preserve">se observa incapacidad médico legal definitiva de treinta y cinco (35) días, con secuelas médico legales: deformidad física que afecta el cuerpo de carácter permanente; perturbación funcional de órgano de la locomoción de carácter transitorio; perturbación funcional de miembro inferior derecho de carácter transitorio; Perturbación funcional de órgano de sistema nervioso periférico de carácter transitorio; </w:t>
      </w:r>
      <w:r w:rsidR="00CE3DB8" w:rsidRPr="003330F3">
        <w:rPr>
          <w:rFonts w:ascii="Arial" w:hAnsi="Arial" w:cs="Arial"/>
          <w:b/>
          <w:lang w:val="es-ES"/>
        </w:rPr>
        <w:t>(ii)</w:t>
      </w:r>
      <w:r w:rsidR="00CE3DB8" w:rsidRPr="003330F3">
        <w:rPr>
          <w:rFonts w:ascii="Arial" w:hAnsi="Arial" w:cs="Arial"/>
          <w:lang w:val="es-ES"/>
        </w:rPr>
        <w:t xml:space="preserve"> La historia clínica aportada refleja: trauma en brazo izquierdo, mano izquierda, pie derecho, muslo derecho, rodilla derecha, pierna derecha, con herida magna de la pierna derecha con posterior dolor, edema y limitación funcional de áreas afectadas al examen, entre otros.</w:t>
      </w:r>
    </w:p>
    <w:p w14:paraId="0455DAD3" w14:textId="77777777" w:rsidR="00712E17" w:rsidRPr="003330F3" w:rsidRDefault="00712E17" w:rsidP="00FA67B7">
      <w:pPr>
        <w:spacing w:after="0" w:line="360" w:lineRule="auto"/>
        <w:jc w:val="both"/>
        <w:rPr>
          <w:rFonts w:ascii="Arial" w:hAnsi="Arial" w:cs="Arial"/>
          <w:lang w:val="es-ES"/>
        </w:rPr>
      </w:pPr>
    </w:p>
    <w:p w14:paraId="6CB887B9" w14:textId="77777777" w:rsidR="003F157D" w:rsidRPr="003330F3" w:rsidRDefault="003F157D">
      <w:pPr>
        <w:spacing w:after="0" w:line="360" w:lineRule="auto"/>
        <w:jc w:val="both"/>
        <w:rPr>
          <w:rFonts w:ascii="Arial" w:hAnsi="Arial" w:cs="Arial"/>
          <w:lang w:val="es-CO"/>
        </w:rPr>
      </w:pPr>
      <w:r w:rsidRPr="003330F3">
        <w:rPr>
          <w:rFonts w:ascii="Arial" w:hAnsi="Arial" w:cs="Arial"/>
          <w:lang w:val="es-ES"/>
        </w:rPr>
        <w:t xml:space="preserve">El anterior valor tomando como referencia la sentencia SC5885-2016, 06/05/2016 de la Corte Suprema de Justicia, en la que reconoció $ 20.000.000 a la víctima directa </w:t>
      </w:r>
      <w:r w:rsidRPr="003330F3">
        <w:rPr>
          <w:rFonts w:ascii="Arial" w:hAnsi="Arial" w:cs="Arial"/>
          <w:lang w:val="es-CO"/>
        </w:rPr>
        <w:t>a causa de la perturbación psíquica, deformidad física permanente y pérdida de su capacidad laboral en un 20.65 %, de estudiante universitaria menor de edad, generadas por la colisión entre vehículo de servicio público y la motocicleta que aquella conducía.</w:t>
      </w:r>
    </w:p>
    <w:p w14:paraId="7E3BB173" w14:textId="77777777" w:rsidR="000023CB" w:rsidRPr="003330F3" w:rsidRDefault="000023CB">
      <w:pPr>
        <w:spacing w:after="0" w:line="360" w:lineRule="auto"/>
        <w:rPr>
          <w:rFonts w:ascii="Arial" w:hAnsi="Arial" w:cs="Arial"/>
          <w:lang w:val="es-ES"/>
        </w:rPr>
      </w:pPr>
    </w:p>
    <w:p w14:paraId="531382AF" w14:textId="77777777" w:rsidR="000023CB" w:rsidRPr="003330F3" w:rsidRDefault="000023CB">
      <w:pPr>
        <w:spacing w:after="0" w:line="360" w:lineRule="auto"/>
        <w:jc w:val="both"/>
        <w:rPr>
          <w:rFonts w:ascii="Arial" w:hAnsi="Arial" w:cs="Arial"/>
          <w:lang w:val="es-ES"/>
        </w:rPr>
      </w:pPr>
      <w:r w:rsidRPr="003330F3">
        <w:rPr>
          <w:rFonts w:ascii="Arial" w:hAnsi="Arial" w:cs="Arial"/>
          <w:b/>
          <w:u w:val="single"/>
          <w:lang w:val="es-ES"/>
        </w:rPr>
        <w:t>Daño emergente</w:t>
      </w:r>
      <w:r w:rsidRPr="003330F3">
        <w:rPr>
          <w:rFonts w:ascii="Arial" w:hAnsi="Arial" w:cs="Arial"/>
          <w:b/>
          <w:lang w:val="es-ES"/>
        </w:rPr>
        <w:t>:</w:t>
      </w:r>
      <w:r w:rsidRPr="003330F3">
        <w:rPr>
          <w:rFonts w:ascii="Arial" w:hAnsi="Arial" w:cs="Arial"/>
          <w:lang w:val="es-ES"/>
        </w:rPr>
        <w:t xml:space="preserve"> </w:t>
      </w:r>
      <w:r w:rsidR="00F82BF7" w:rsidRPr="003330F3">
        <w:rPr>
          <w:rFonts w:ascii="Arial" w:hAnsi="Arial" w:cs="Arial"/>
          <w:b/>
          <w:lang w:val="es-ES"/>
        </w:rPr>
        <w:t>$ 0.</w:t>
      </w:r>
      <w:r w:rsidR="00F82BF7" w:rsidRPr="003330F3">
        <w:rPr>
          <w:rFonts w:ascii="Arial" w:hAnsi="Arial" w:cs="Arial"/>
          <w:lang w:val="es-ES"/>
        </w:rPr>
        <w:t xml:space="preserve"> N</w:t>
      </w:r>
      <w:r w:rsidR="003F157D" w:rsidRPr="003330F3">
        <w:rPr>
          <w:rFonts w:ascii="Arial" w:hAnsi="Arial" w:cs="Arial"/>
          <w:lang w:val="es-ES"/>
        </w:rPr>
        <w:t xml:space="preserve">o </w:t>
      </w:r>
      <w:r w:rsidRPr="003330F3">
        <w:rPr>
          <w:rFonts w:ascii="Arial" w:hAnsi="Arial" w:cs="Arial"/>
          <w:lang w:val="es-ES"/>
        </w:rPr>
        <w:t>se reconoce suma</w:t>
      </w:r>
      <w:r w:rsidR="003F157D" w:rsidRPr="003330F3">
        <w:rPr>
          <w:rFonts w:ascii="Arial" w:hAnsi="Arial" w:cs="Arial"/>
          <w:lang w:val="es-ES"/>
        </w:rPr>
        <w:t xml:space="preserve"> alguna por este concepto. </w:t>
      </w:r>
      <w:r w:rsidR="00F82BF7" w:rsidRPr="003330F3">
        <w:rPr>
          <w:rFonts w:ascii="Arial" w:hAnsi="Arial" w:cs="Arial"/>
          <w:lang w:val="es-ES"/>
        </w:rPr>
        <w:t xml:space="preserve">Lo anterior, atendiendo a que no obra prueba alguna dentro del plenario que permita identificar valor alguno cancelado por la demandante con ocasión a lo indicado en la demanda. </w:t>
      </w:r>
    </w:p>
    <w:p w14:paraId="2E8961CC" w14:textId="77777777" w:rsidR="000023CB" w:rsidRPr="003330F3" w:rsidRDefault="000023CB">
      <w:pPr>
        <w:spacing w:after="0" w:line="360" w:lineRule="auto"/>
        <w:rPr>
          <w:rFonts w:ascii="Arial" w:hAnsi="Arial" w:cs="Arial"/>
          <w:lang w:val="es-ES"/>
        </w:rPr>
      </w:pPr>
    </w:p>
    <w:p w14:paraId="0729E51E" w14:textId="2878C1F8" w:rsidR="00240680" w:rsidRPr="00B559F2" w:rsidRDefault="000023CB" w:rsidP="00240680">
      <w:pPr>
        <w:spacing w:after="0" w:line="360" w:lineRule="auto"/>
        <w:jc w:val="both"/>
        <w:rPr>
          <w:rFonts w:ascii="Arial" w:hAnsi="Arial" w:cs="Arial"/>
          <w:lang w:val="es-ES"/>
        </w:rPr>
      </w:pPr>
      <w:r w:rsidRPr="003330F3">
        <w:rPr>
          <w:rFonts w:ascii="Arial" w:hAnsi="Arial" w:cs="Arial"/>
          <w:b/>
          <w:u w:val="single"/>
          <w:lang w:val="es-ES"/>
        </w:rPr>
        <w:t>Lucro cesante</w:t>
      </w:r>
      <w:r w:rsidRPr="003330F3">
        <w:rPr>
          <w:rFonts w:ascii="Arial" w:hAnsi="Arial" w:cs="Arial"/>
          <w:b/>
          <w:lang w:val="es-ES"/>
        </w:rPr>
        <w:t>:</w:t>
      </w:r>
      <w:r w:rsidRPr="003330F3">
        <w:rPr>
          <w:rFonts w:ascii="Arial" w:hAnsi="Arial" w:cs="Arial"/>
          <w:lang w:val="es-ES"/>
        </w:rPr>
        <w:t xml:space="preserve"> </w:t>
      </w:r>
      <w:r w:rsidR="00240680" w:rsidRPr="00B559F2">
        <w:rPr>
          <w:rFonts w:ascii="Arial" w:hAnsi="Arial" w:cs="Arial"/>
          <w:lang w:val="es-ES"/>
        </w:rPr>
        <w:t xml:space="preserve">se reconoce la suma de </w:t>
      </w:r>
      <w:r w:rsidR="00240680" w:rsidRPr="00B559F2">
        <w:rPr>
          <w:rFonts w:ascii="Arial" w:hAnsi="Arial" w:cs="Arial"/>
          <w:b/>
          <w:lang w:val="es-ES"/>
        </w:rPr>
        <w:t xml:space="preserve">$ </w:t>
      </w:r>
      <w:r w:rsidR="00240680" w:rsidRPr="00240680">
        <w:rPr>
          <w:rFonts w:ascii="Arial" w:hAnsi="Arial" w:cs="Arial"/>
          <w:b/>
          <w:lang w:val="es-ES"/>
        </w:rPr>
        <w:t>51.885.808</w:t>
      </w:r>
      <w:r w:rsidR="00240680">
        <w:rPr>
          <w:rFonts w:ascii="Arial" w:hAnsi="Arial" w:cs="Arial"/>
          <w:b/>
          <w:lang w:val="es-ES"/>
        </w:rPr>
        <w:t xml:space="preserve"> </w:t>
      </w:r>
      <w:r w:rsidR="00240680" w:rsidRPr="00B559F2">
        <w:rPr>
          <w:rFonts w:ascii="Arial" w:hAnsi="Arial" w:cs="Arial"/>
          <w:lang w:val="es-ES"/>
        </w:rPr>
        <w:t xml:space="preserve">a favor de </w:t>
      </w:r>
      <w:r w:rsidR="00240680" w:rsidRPr="003330F3">
        <w:rPr>
          <w:rFonts w:ascii="Arial" w:hAnsi="Arial" w:cs="Arial"/>
          <w:lang w:val="es-ES"/>
        </w:rPr>
        <w:t>Danilsa María Díaz Licona</w:t>
      </w:r>
      <w:r w:rsidR="00240680" w:rsidRPr="00B559F2">
        <w:rPr>
          <w:rFonts w:ascii="Arial" w:hAnsi="Arial" w:cs="Arial"/>
          <w:lang w:val="es-ES"/>
        </w:rPr>
        <w:t xml:space="preserve">. Si bien la liquidación arrojó la suma total de $ </w:t>
      </w:r>
      <w:r w:rsidR="00240680">
        <w:rPr>
          <w:rFonts w:ascii="Arial" w:hAnsi="Arial" w:cs="Arial"/>
          <w:lang w:val="es-ES"/>
        </w:rPr>
        <w:t xml:space="preserve">68.138.353 </w:t>
      </w:r>
      <w:r w:rsidR="00240680" w:rsidRPr="00B559F2">
        <w:rPr>
          <w:rFonts w:ascii="Arial" w:hAnsi="Arial" w:cs="Arial"/>
          <w:lang w:val="es-ES"/>
        </w:rPr>
        <w:t xml:space="preserve">compuesto por concepto de lucro cesante consolidado que arrojó la suma de $ </w:t>
      </w:r>
      <w:r w:rsidR="00240680" w:rsidRPr="00240680">
        <w:rPr>
          <w:rFonts w:ascii="Arial" w:hAnsi="Arial" w:cs="Arial"/>
          <w:lang w:val="es-ES"/>
        </w:rPr>
        <w:t>24.038.</w:t>
      </w:r>
      <w:r w:rsidR="00240680">
        <w:rPr>
          <w:rFonts w:ascii="Arial" w:hAnsi="Arial" w:cs="Arial"/>
          <w:lang w:val="es-ES"/>
        </w:rPr>
        <w:t>539</w:t>
      </w:r>
      <w:r w:rsidR="00240680" w:rsidRPr="00B559F2">
        <w:rPr>
          <w:rFonts w:ascii="Arial" w:hAnsi="Arial" w:cs="Arial"/>
          <w:lang w:val="es-ES"/>
        </w:rPr>
        <w:t xml:space="preserve"> y por concepto de lucro cesante futuro que arrojó la suma de $ </w:t>
      </w:r>
      <w:r w:rsidR="00240680" w:rsidRPr="00240680">
        <w:rPr>
          <w:rFonts w:ascii="Arial" w:hAnsi="Arial" w:cs="Arial"/>
          <w:lang w:val="es-ES"/>
        </w:rPr>
        <w:t>44.099.814</w:t>
      </w:r>
      <w:r w:rsidR="00240680" w:rsidRPr="00B559F2">
        <w:rPr>
          <w:rFonts w:ascii="Arial" w:hAnsi="Arial" w:cs="Arial"/>
          <w:lang w:val="es-ES"/>
        </w:rPr>
        <w:t>, lo cierto es que en las pretensiones de la demanda el valor pedido es menor</w:t>
      </w:r>
      <w:r w:rsidR="00240680">
        <w:rPr>
          <w:rFonts w:ascii="Arial" w:hAnsi="Arial" w:cs="Arial"/>
          <w:lang w:val="es-ES"/>
        </w:rPr>
        <w:t xml:space="preserve"> por la suma de $ </w:t>
      </w:r>
      <w:r w:rsidR="00240680" w:rsidRPr="00240680">
        <w:rPr>
          <w:rFonts w:ascii="Arial" w:hAnsi="Arial" w:cs="Arial"/>
          <w:lang w:val="es-ES"/>
        </w:rPr>
        <w:t>51.885.808</w:t>
      </w:r>
      <w:r w:rsidR="00240680" w:rsidRPr="00B559F2">
        <w:rPr>
          <w:rFonts w:ascii="Arial" w:hAnsi="Arial" w:cs="Arial"/>
          <w:lang w:val="es-ES"/>
        </w:rPr>
        <w:t xml:space="preserve">, por lo tanto, se reconoce el menor valor. </w:t>
      </w:r>
    </w:p>
    <w:p w14:paraId="6D4751B0" w14:textId="77777777" w:rsidR="00240680" w:rsidRPr="00B559F2" w:rsidRDefault="00240680" w:rsidP="00240680">
      <w:pPr>
        <w:spacing w:after="0" w:line="360" w:lineRule="auto"/>
        <w:jc w:val="both"/>
        <w:rPr>
          <w:rFonts w:ascii="Arial" w:hAnsi="Arial" w:cs="Arial"/>
          <w:lang w:val="es-ES"/>
        </w:rPr>
      </w:pPr>
    </w:p>
    <w:p w14:paraId="6415CA11" w14:textId="67AC2A2C" w:rsidR="00240680" w:rsidRDefault="00240680" w:rsidP="00240680">
      <w:pPr>
        <w:spacing w:after="0" w:line="360" w:lineRule="auto"/>
        <w:jc w:val="both"/>
        <w:rPr>
          <w:rFonts w:ascii="Arial" w:hAnsi="Arial" w:cs="Arial"/>
          <w:lang w:val="es-ES"/>
        </w:rPr>
      </w:pPr>
      <w:r w:rsidRPr="00B559F2">
        <w:rPr>
          <w:rFonts w:ascii="Arial" w:hAnsi="Arial" w:cs="Arial"/>
          <w:lang w:val="es-ES"/>
        </w:rPr>
        <w:t xml:space="preserve">Lo anterior, teniendo como datos para la liquidación los siguientes: </w:t>
      </w:r>
      <w:r w:rsidRPr="00B559F2">
        <w:rPr>
          <w:rFonts w:ascii="Arial" w:hAnsi="Arial" w:cs="Arial"/>
          <w:b/>
          <w:lang w:val="es-ES"/>
        </w:rPr>
        <w:t>(i)</w:t>
      </w:r>
      <w:r w:rsidR="00694CB6">
        <w:rPr>
          <w:rFonts w:ascii="Arial" w:hAnsi="Arial" w:cs="Arial"/>
          <w:lang w:val="es-ES"/>
        </w:rPr>
        <w:t xml:space="preserve"> PCL del 20</w:t>
      </w:r>
      <w:r w:rsidRPr="00B559F2">
        <w:rPr>
          <w:rFonts w:ascii="Arial" w:hAnsi="Arial" w:cs="Arial"/>
          <w:lang w:val="es-ES"/>
        </w:rPr>
        <w:t xml:space="preserve"> %; </w:t>
      </w:r>
      <w:r w:rsidRPr="00B559F2">
        <w:rPr>
          <w:rFonts w:ascii="Arial" w:hAnsi="Arial" w:cs="Arial"/>
          <w:b/>
          <w:lang w:val="es-ES"/>
        </w:rPr>
        <w:t>(ii)</w:t>
      </w:r>
      <w:r w:rsidRPr="00B559F2">
        <w:rPr>
          <w:rFonts w:ascii="Arial" w:hAnsi="Arial" w:cs="Arial"/>
          <w:lang w:val="es-ES"/>
        </w:rPr>
        <w:t xml:space="preserve"> Salario por la suma de </w:t>
      </w:r>
      <w:r w:rsidR="00694CB6">
        <w:rPr>
          <w:rFonts w:ascii="Arial" w:hAnsi="Arial" w:cs="Arial"/>
          <w:lang w:val="es-ES"/>
        </w:rPr>
        <w:t>$ 1.160.000</w:t>
      </w:r>
      <w:r w:rsidRPr="00B559F2">
        <w:rPr>
          <w:rFonts w:ascii="Arial" w:hAnsi="Arial" w:cs="Arial"/>
          <w:lang w:val="es-ES"/>
        </w:rPr>
        <w:t xml:space="preserve">; </w:t>
      </w:r>
      <w:r w:rsidRPr="00B559F2">
        <w:rPr>
          <w:rFonts w:ascii="Arial" w:hAnsi="Arial" w:cs="Arial"/>
          <w:b/>
          <w:lang w:val="es-ES"/>
        </w:rPr>
        <w:t>(iii)</w:t>
      </w:r>
      <w:r w:rsidRPr="00B559F2">
        <w:rPr>
          <w:rFonts w:ascii="Arial" w:hAnsi="Arial" w:cs="Arial"/>
          <w:lang w:val="es-ES"/>
        </w:rPr>
        <w:t xml:space="preserve"> Edad del lesionado al </w:t>
      </w:r>
      <w:r w:rsidR="00694CB6">
        <w:rPr>
          <w:rFonts w:ascii="Arial" w:hAnsi="Arial" w:cs="Arial"/>
          <w:lang w:val="es-ES"/>
        </w:rPr>
        <w:t>momento del accidente (34</w:t>
      </w:r>
      <w:r w:rsidRPr="00B559F2">
        <w:rPr>
          <w:rFonts w:ascii="Arial" w:hAnsi="Arial" w:cs="Arial"/>
          <w:lang w:val="es-ES"/>
        </w:rPr>
        <w:t xml:space="preserve"> años); </w:t>
      </w:r>
      <w:r w:rsidRPr="00B559F2">
        <w:rPr>
          <w:rFonts w:ascii="Arial" w:hAnsi="Arial" w:cs="Arial"/>
          <w:b/>
          <w:lang w:val="es-ES"/>
        </w:rPr>
        <w:t>(iv)</w:t>
      </w:r>
      <w:r w:rsidRPr="00B559F2">
        <w:rPr>
          <w:rFonts w:ascii="Arial" w:hAnsi="Arial" w:cs="Arial"/>
          <w:lang w:val="es-ES"/>
        </w:rPr>
        <w:t xml:space="preserve"> ocurrencia del accidente (</w:t>
      </w:r>
      <w:r w:rsidR="00694CB6" w:rsidRPr="001B082E">
        <w:rPr>
          <w:rFonts w:ascii="Arial" w:hAnsi="Arial" w:cs="Arial"/>
          <w:bCs/>
          <w:color w:val="000000" w:themeColor="text1"/>
          <w:lang w:val="es-CO" w:eastAsia="es-ES"/>
        </w:rPr>
        <w:t>28 de diciembre de 2016</w:t>
      </w:r>
      <w:r w:rsidRPr="00B559F2">
        <w:rPr>
          <w:rFonts w:ascii="Arial" w:hAnsi="Arial" w:cs="Arial"/>
          <w:lang w:val="es-ES"/>
        </w:rPr>
        <w:t xml:space="preserve">); </w:t>
      </w:r>
      <w:r w:rsidRPr="00B559F2">
        <w:rPr>
          <w:rFonts w:ascii="Arial" w:hAnsi="Arial" w:cs="Arial"/>
          <w:b/>
          <w:lang w:val="es-ES"/>
        </w:rPr>
        <w:t>(v)</w:t>
      </w:r>
      <w:r w:rsidRPr="00B559F2">
        <w:rPr>
          <w:rFonts w:ascii="Arial" w:hAnsi="Arial" w:cs="Arial"/>
          <w:lang w:val="es-ES"/>
        </w:rPr>
        <w:t xml:space="preserve"> fecha de la liquidación (</w:t>
      </w:r>
      <w:r w:rsidR="00694CB6">
        <w:rPr>
          <w:rFonts w:ascii="Arial" w:hAnsi="Arial" w:cs="Arial"/>
          <w:lang w:val="es-CO"/>
        </w:rPr>
        <w:t>1 de noviembre de 2023</w:t>
      </w:r>
      <w:r w:rsidRPr="00B559F2">
        <w:rPr>
          <w:rFonts w:ascii="Arial" w:hAnsi="Arial" w:cs="Arial"/>
          <w:lang w:val="es-ES"/>
        </w:rPr>
        <w:t>).</w:t>
      </w:r>
      <w:r w:rsidR="00694CB6">
        <w:rPr>
          <w:rFonts w:ascii="Arial" w:hAnsi="Arial" w:cs="Arial"/>
          <w:lang w:val="es-ES"/>
        </w:rPr>
        <w:t xml:space="preserve"> </w:t>
      </w:r>
      <w:r w:rsidRPr="00B559F2">
        <w:rPr>
          <w:rFonts w:ascii="Arial" w:hAnsi="Arial" w:cs="Arial"/>
          <w:lang w:val="es-ES"/>
        </w:rPr>
        <w:t xml:space="preserve"> </w:t>
      </w:r>
    </w:p>
    <w:p w14:paraId="3C058EB1" w14:textId="47327675" w:rsidR="002A70A8" w:rsidRPr="003330F3" w:rsidRDefault="002A70A8">
      <w:pPr>
        <w:spacing w:after="0" w:line="360" w:lineRule="auto"/>
        <w:jc w:val="both"/>
        <w:rPr>
          <w:rFonts w:ascii="Arial" w:hAnsi="Arial" w:cs="Arial"/>
          <w:lang w:val="es-CO"/>
        </w:rPr>
      </w:pPr>
    </w:p>
    <w:p w14:paraId="3C3FE19C" w14:textId="217FC9BA" w:rsidR="000023CB" w:rsidRPr="003330F3" w:rsidRDefault="000023CB">
      <w:pPr>
        <w:spacing w:after="0" w:line="360" w:lineRule="auto"/>
        <w:jc w:val="both"/>
        <w:rPr>
          <w:rFonts w:ascii="Arial" w:hAnsi="Arial" w:cs="Arial"/>
          <w:lang w:val="es-ES"/>
        </w:rPr>
      </w:pPr>
      <w:r w:rsidRPr="003330F3">
        <w:rPr>
          <w:rFonts w:ascii="Arial" w:hAnsi="Arial" w:cs="Arial"/>
          <w:b/>
          <w:u w:val="single"/>
          <w:lang w:val="es-ES"/>
        </w:rPr>
        <w:t>Valor de la contingencia</w:t>
      </w:r>
      <w:r w:rsidRPr="003330F3">
        <w:rPr>
          <w:rFonts w:ascii="Arial" w:hAnsi="Arial" w:cs="Arial"/>
          <w:b/>
          <w:lang w:val="es-ES"/>
        </w:rPr>
        <w:t>:</w:t>
      </w:r>
      <w:r w:rsidRPr="003330F3">
        <w:rPr>
          <w:rFonts w:ascii="Arial" w:hAnsi="Arial" w:cs="Arial"/>
          <w:lang w:val="es-ES"/>
        </w:rPr>
        <w:t xml:space="preserve"> el valor de la liquidación objetiva ($ </w:t>
      </w:r>
      <w:r w:rsidR="001D3FAA" w:rsidRPr="001D3FAA">
        <w:rPr>
          <w:rFonts w:ascii="Arial" w:hAnsi="Arial" w:cs="Arial"/>
          <w:lang w:val="es-ES"/>
        </w:rPr>
        <w:t>86.885.808</w:t>
      </w:r>
      <w:r w:rsidRPr="003330F3">
        <w:rPr>
          <w:rFonts w:ascii="Arial" w:hAnsi="Arial" w:cs="Arial"/>
          <w:lang w:val="es-ES"/>
        </w:rPr>
        <w:t xml:space="preserve">) es </w:t>
      </w:r>
      <w:r w:rsidR="001D3FAA">
        <w:rPr>
          <w:rFonts w:ascii="Arial" w:hAnsi="Arial" w:cs="Arial"/>
          <w:lang w:val="es-ES"/>
        </w:rPr>
        <w:t>mayor</w:t>
      </w:r>
      <w:r w:rsidRPr="003330F3">
        <w:rPr>
          <w:rFonts w:ascii="Arial" w:hAnsi="Arial" w:cs="Arial"/>
          <w:lang w:val="es-ES"/>
        </w:rPr>
        <w:t xml:space="preserve"> al valor asegurado de la póliza No. </w:t>
      </w:r>
      <w:r w:rsidR="007A7CCE" w:rsidRPr="003330F3">
        <w:rPr>
          <w:rFonts w:ascii="Arial" w:hAnsi="Arial" w:cs="Arial"/>
          <w:lang w:val="es-ES"/>
        </w:rPr>
        <w:t xml:space="preserve">AA006852 </w:t>
      </w:r>
      <w:r w:rsidRPr="003330F3">
        <w:rPr>
          <w:rFonts w:ascii="Arial" w:hAnsi="Arial" w:cs="Arial"/>
          <w:lang w:val="es-ES"/>
        </w:rPr>
        <w:t xml:space="preserve">para el amparo de </w:t>
      </w:r>
      <w:r w:rsidR="009A3846" w:rsidRPr="003330F3">
        <w:rPr>
          <w:rFonts w:ascii="Arial" w:hAnsi="Arial" w:cs="Arial"/>
          <w:lang w:val="es-ES"/>
        </w:rPr>
        <w:t xml:space="preserve">Responsabilidad Civil </w:t>
      </w:r>
      <w:r w:rsidR="009A3846" w:rsidRPr="003330F3">
        <w:rPr>
          <w:rFonts w:ascii="Arial" w:hAnsi="Arial" w:cs="Arial"/>
          <w:lang w:val="es-ES"/>
        </w:rPr>
        <w:lastRenderedPageBreak/>
        <w:t>Extracontractual</w:t>
      </w:r>
      <w:r w:rsidRPr="003330F3">
        <w:rPr>
          <w:rFonts w:ascii="Arial" w:hAnsi="Arial" w:cs="Arial"/>
          <w:lang w:val="es-ES"/>
        </w:rPr>
        <w:t xml:space="preserve"> (</w:t>
      </w:r>
      <w:r w:rsidR="007A7CCE" w:rsidRPr="003330F3">
        <w:rPr>
          <w:rFonts w:ascii="Arial" w:hAnsi="Arial" w:cs="Arial"/>
          <w:lang w:val="es-CO"/>
        </w:rPr>
        <w:t>100 SMLMV / año 2016 / $ 68.945.400</w:t>
      </w:r>
      <w:r w:rsidRPr="003330F3">
        <w:rPr>
          <w:rFonts w:ascii="Arial" w:hAnsi="Arial" w:cs="Arial"/>
          <w:lang w:val="es-ES"/>
        </w:rPr>
        <w:t xml:space="preserve">), por lo tanto, se toma el menor valor, es decir, la suma de </w:t>
      </w:r>
      <w:r w:rsidRPr="003330F3">
        <w:rPr>
          <w:rFonts w:ascii="Arial" w:hAnsi="Arial" w:cs="Arial"/>
          <w:b/>
          <w:lang w:val="es-ES"/>
        </w:rPr>
        <w:t xml:space="preserve">$ </w:t>
      </w:r>
      <w:r w:rsidR="001D3FAA" w:rsidRPr="001D3FAA">
        <w:rPr>
          <w:rFonts w:ascii="Arial" w:hAnsi="Arial" w:cs="Arial"/>
          <w:b/>
          <w:lang w:val="es-ES"/>
        </w:rPr>
        <w:t>68.945.400</w:t>
      </w:r>
      <w:r w:rsidRPr="003330F3">
        <w:rPr>
          <w:rFonts w:ascii="Arial" w:hAnsi="Arial" w:cs="Arial"/>
          <w:b/>
          <w:lang w:val="es-ES"/>
        </w:rPr>
        <w:t>.</w:t>
      </w:r>
    </w:p>
    <w:p w14:paraId="79BEF82F" w14:textId="77777777" w:rsidR="000023CB" w:rsidRPr="003330F3" w:rsidRDefault="000023CB">
      <w:pPr>
        <w:spacing w:after="0" w:line="360" w:lineRule="auto"/>
        <w:rPr>
          <w:rFonts w:ascii="Arial" w:hAnsi="Arial" w:cs="Arial"/>
          <w:lang w:val="es-ES"/>
        </w:rPr>
      </w:pPr>
    </w:p>
    <w:p w14:paraId="2E440D19" w14:textId="77777777" w:rsidR="000023CB" w:rsidRPr="003330F3" w:rsidRDefault="000023CB">
      <w:pPr>
        <w:spacing w:after="0" w:line="360" w:lineRule="auto"/>
        <w:jc w:val="both"/>
        <w:rPr>
          <w:rFonts w:ascii="Arial" w:hAnsi="Arial" w:cs="Arial"/>
          <w:lang w:val="es-ES"/>
        </w:rPr>
      </w:pPr>
      <w:r w:rsidRPr="003330F3">
        <w:rPr>
          <w:rFonts w:ascii="Arial" w:hAnsi="Arial" w:cs="Arial"/>
          <w:b/>
          <w:u w:val="single"/>
          <w:lang w:val="es-ES"/>
        </w:rPr>
        <w:t>Deducible</w:t>
      </w:r>
      <w:r w:rsidRPr="003330F3">
        <w:rPr>
          <w:rFonts w:ascii="Arial" w:hAnsi="Arial" w:cs="Arial"/>
          <w:b/>
          <w:lang w:val="es-ES"/>
        </w:rPr>
        <w:t>:</w:t>
      </w:r>
      <w:r w:rsidRPr="003330F3">
        <w:rPr>
          <w:rFonts w:ascii="Arial" w:hAnsi="Arial" w:cs="Arial"/>
          <w:lang w:val="es-ES"/>
        </w:rPr>
        <w:t xml:space="preserve"> para el amparo de </w:t>
      </w:r>
      <w:r w:rsidR="000924A4" w:rsidRPr="003330F3">
        <w:rPr>
          <w:rFonts w:ascii="Arial" w:hAnsi="Arial" w:cs="Arial"/>
          <w:lang w:val="es-ES"/>
        </w:rPr>
        <w:t xml:space="preserve">Responsabilidad Civil Extracontractual no </w:t>
      </w:r>
      <w:r w:rsidRPr="003330F3">
        <w:rPr>
          <w:rFonts w:ascii="Arial" w:hAnsi="Arial" w:cs="Arial"/>
          <w:lang w:val="es-ES"/>
        </w:rPr>
        <w:t xml:space="preserve">se pactó </w:t>
      </w:r>
      <w:r w:rsidR="000924A4" w:rsidRPr="003330F3">
        <w:rPr>
          <w:rFonts w:ascii="Arial" w:hAnsi="Arial" w:cs="Arial"/>
          <w:lang w:val="es-ES"/>
        </w:rPr>
        <w:t>deducible.</w:t>
      </w:r>
    </w:p>
    <w:sectPr w:rsidR="000023CB" w:rsidRPr="003330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CB"/>
    <w:rsid w:val="000023CB"/>
    <w:rsid w:val="00086EF8"/>
    <w:rsid w:val="000924A4"/>
    <w:rsid w:val="000D6517"/>
    <w:rsid w:val="00106BEF"/>
    <w:rsid w:val="001D292B"/>
    <w:rsid w:val="001D3FAA"/>
    <w:rsid w:val="00240680"/>
    <w:rsid w:val="002A70A8"/>
    <w:rsid w:val="003330F3"/>
    <w:rsid w:val="003614B5"/>
    <w:rsid w:val="003C6D04"/>
    <w:rsid w:val="003D05FC"/>
    <w:rsid w:val="003F157D"/>
    <w:rsid w:val="00403028"/>
    <w:rsid w:val="00425D56"/>
    <w:rsid w:val="00457613"/>
    <w:rsid w:val="004D19DB"/>
    <w:rsid w:val="004D3A64"/>
    <w:rsid w:val="004F7AC4"/>
    <w:rsid w:val="00632517"/>
    <w:rsid w:val="006678A7"/>
    <w:rsid w:val="00667A2A"/>
    <w:rsid w:val="00694CB6"/>
    <w:rsid w:val="006E4425"/>
    <w:rsid w:val="006F3A60"/>
    <w:rsid w:val="00712E17"/>
    <w:rsid w:val="007832A3"/>
    <w:rsid w:val="007A7CCE"/>
    <w:rsid w:val="00814D20"/>
    <w:rsid w:val="008A4693"/>
    <w:rsid w:val="00982757"/>
    <w:rsid w:val="009A3846"/>
    <w:rsid w:val="009B0F7E"/>
    <w:rsid w:val="00AE523B"/>
    <w:rsid w:val="00B559F2"/>
    <w:rsid w:val="00C4373D"/>
    <w:rsid w:val="00CE3DB8"/>
    <w:rsid w:val="00CF0238"/>
    <w:rsid w:val="00DB0760"/>
    <w:rsid w:val="00E36851"/>
    <w:rsid w:val="00EA52B2"/>
    <w:rsid w:val="00EA52CF"/>
    <w:rsid w:val="00EC6A0E"/>
    <w:rsid w:val="00F2675E"/>
    <w:rsid w:val="00F82BF7"/>
    <w:rsid w:val="00FA4B12"/>
    <w:rsid w:val="00FA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D7A5"/>
  <w15:chartTrackingRefBased/>
  <w15:docId w15:val="{8FF731B4-B32F-47A9-A16D-B69C64F4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5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F2"/>
    <w:rPr>
      <w:rFonts w:ascii="Segoe UI" w:hAnsi="Segoe UI" w:cs="Segoe UI"/>
      <w:sz w:val="18"/>
      <w:szCs w:val="18"/>
    </w:rPr>
  </w:style>
  <w:style w:type="table" w:styleId="Tablaconcuadrcula">
    <w:name w:val="Table Grid"/>
    <w:basedOn w:val="Tablanormal"/>
    <w:uiPriority w:val="39"/>
    <w:rsid w:val="0063251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832A3"/>
    <w:rPr>
      <w:sz w:val="16"/>
      <w:szCs w:val="16"/>
    </w:rPr>
  </w:style>
  <w:style w:type="paragraph" w:styleId="Textocomentario">
    <w:name w:val="annotation text"/>
    <w:basedOn w:val="Normal"/>
    <w:link w:val="TextocomentarioCar"/>
    <w:uiPriority w:val="99"/>
    <w:semiHidden/>
    <w:unhideWhenUsed/>
    <w:rsid w:val="007832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32A3"/>
    <w:rPr>
      <w:sz w:val="20"/>
      <w:szCs w:val="20"/>
    </w:rPr>
  </w:style>
  <w:style w:type="paragraph" w:styleId="Asuntodelcomentario">
    <w:name w:val="annotation subject"/>
    <w:basedOn w:val="Textocomentario"/>
    <w:next w:val="Textocomentario"/>
    <w:link w:val="AsuntodelcomentarioCar"/>
    <w:uiPriority w:val="99"/>
    <w:semiHidden/>
    <w:unhideWhenUsed/>
    <w:rsid w:val="007832A3"/>
    <w:rPr>
      <w:b/>
      <w:bCs/>
    </w:rPr>
  </w:style>
  <w:style w:type="character" w:customStyle="1" w:styleId="AsuntodelcomentarioCar">
    <w:name w:val="Asunto del comentario Car"/>
    <w:basedOn w:val="TextocomentarioCar"/>
    <w:link w:val="Asuntodelcomentario"/>
    <w:uiPriority w:val="99"/>
    <w:semiHidden/>
    <w:rsid w:val="00783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DFD2-4314-4902-BCB1-B49CE0AC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1326</Words>
  <Characters>7559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5</cp:revision>
  <dcterms:created xsi:type="dcterms:W3CDTF">2023-11-01T00:30:00Z</dcterms:created>
  <dcterms:modified xsi:type="dcterms:W3CDTF">2023-11-01T18:30:00Z</dcterms:modified>
</cp:coreProperties>
</file>