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DEAAF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right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  <w:t>Ordinario Laboral</w:t>
      </w:r>
    </w:p>
    <w:p w14:paraId="50C0F113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right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  <w:t>Demandante: JORGE FLÓREZ BERNAL</w:t>
      </w:r>
    </w:p>
    <w:p w14:paraId="14ED33E8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right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  <w:t>Demandado: COLPENSIONES Y OTROS.</w:t>
      </w:r>
    </w:p>
    <w:p w14:paraId="6AED1921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right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  <w:t>Radicación: 11001-31-05-042-2023-00239-01</w:t>
      </w:r>
    </w:p>
    <w:p w14:paraId="24E9FCA1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right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  <w:t>Apelación de Auto</w:t>
      </w:r>
    </w:p>
    <w:p w14:paraId="6E23AB90" w14:textId="77777777" w:rsidR="0072301B" w:rsidRDefault="0072301B" w:rsidP="00E83D30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</w:p>
    <w:p w14:paraId="68896E4C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REPÚBLICA DE COLOMBIA</w:t>
      </w:r>
    </w:p>
    <w:p w14:paraId="7B593C10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RAMA JUDICIAL</w:t>
      </w:r>
    </w:p>
    <w:p w14:paraId="29622594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TRIBUNAL SUPERIOR DEL DISTRITO JUDICIAL DE BOGOTÁ</w:t>
      </w:r>
    </w:p>
    <w:p w14:paraId="35486AAB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SALA DE DECISIÓN LABORAL</w:t>
      </w:r>
    </w:p>
    <w:p w14:paraId="3630FC09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MAGISTRADA PONENTE: ELCY JIMENA VALENCIA CASTRILLÓN</w:t>
      </w:r>
    </w:p>
    <w:p w14:paraId="024F6CB1" w14:textId="77777777" w:rsidR="0072301B" w:rsidRDefault="0072301B" w:rsidP="00E83D3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</w:p>
    <w:p w14:paraId="234B4DDB" w14:textId="77777777" w:rsidR="0072301B" w:rsidRDefault="0072301B" w:rsidP="00E83D3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</w:p>
    <w:p w14:paraId="1041BDEA" w14:textId="7F5ED924" w:rsidR="00E83D30" w:rsidRDefault="00E83D30" w:rsidP="00E83D3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PROCESO: </w:t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>
        <w:rPr>
          <w:rFonts w:ascii="Helvetica" w:hAnsi="Helvetica" w:cs="Helvetica"/>
          <w:kern w:val="0"/>
          <w:sz w:val="24"/>
          <w:szCs w:val="24"/>
          <w:lang w:val="es-CO"/>
        </w:rPr>
        <w:t>Ordinario Laboral</w:t>
      </w:r>
    </w:p>
    <w:p w14:paraId="451F68EA" w14:textId="1BB95F2A" w:rsidR="00E83D30" w:rsidRDefault="00E83D30" w:rsidP="00E83D3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RADICADO: </w:t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>
        <w:rPr>
          <w:rFonts w:ascii="Helvetica" w:hAnsi="Helvetica" w:cs="Helvetica"/>
          <w:kern w:val="0"/>
          <w:sz w:val="24"/>
          <w:szCs w:val="24"/>
          <w:lang w:val="es-CO"/>
        </w:rPr>
        <w:t>11001-31-05-042-2023-0239-01.</w:t>
      </w:r>
    </w:p>
    <w:p w14:paraId="6108A79B" w14:textId="31847EE3" w:rsidR="00E83D30" w:rsidRDefault="00E83D30" w:rsidP="00E83D3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DEMANDANTE: </w:t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>
        <w:rPr>
          <w:rFonts w:ascii="Helvetica" w:hAnsi="Helvetica" w:cs="Helvetica"/>
          <w:kern w:val="0"/>
          <w:sz w:val="24"/>
          <w:szCs w:val="24"/>
          <w:lang w:val="es-CO"/>
        </w:rPr>
        <w:t>JORGE FLÓREZ BERNAL</w:t>
      </w:r>
    </w:p>
    <w:p w14:paraId="2412D3E8" w14:textId="43049FE2" w:rsidR="00E83D30" w:rsidRDefault="00E83D30" w:rsidP="00E83D3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DEMANDADO: </w:t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>
        <w:rPr>
          <w:rFonts w:ascii="Helvetica" w:hAnsi="Helvetica" w:cs="Helvetica"/>
          <w:kern w:val="0"/>
          <w:sz w:val="24"/>
          <w:szCs w:val="24"/>
          <w:lang w:val="es-CO"/>
        </w:rPr>
        <w:t>COLPENSIONES y OTROS.</w:t>
      </w:r>
    </w:p>
    <w:p w14:paraId="015822A8" w14:textId="13BEBC92" w:rsidR="00E83D30" w:rsidRDefault="00E83D30" w:rsidP="00E83D3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ASUNTO: </w:t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>
        <w:rPr>
          <w:rFonts w:ascii="Helvetica" w:hAnsi="Helvetica" w:cs="Helvetica"/>
          <w:kern w:val="0"/>
          <w:sz w:val="24"/>
          <w:szCs w:val="24"/>
          <w:lang w:val="es-CO"/>
        </w:rPr>
        <w:t>Apelación Auto 11 de enero de 2024.</w:t>
      </w:r>
    </w:p>
    <w:p w14:paraId="2D36436D" w14:textId="2EE8319C" w:rsidR="00E83D30" w:rsidRDefault="00E83D30" w:rsidP="00E83D3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JUZGADO: </w:t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>
        <w:rPr>
          <w:rFonts w:ascii="Helvetica" w:hAnsi="Helvetica" w:cs="Helvetica"/>
          <w:kern w:val="0"/>
          <w:sz w:val="24"/>
          <w:szCs w:val="24"/>
          <w:lang w:val="es-CO"/>
        </w:rPr>
        <w:t>Juzgado Cuarenta y Dos (42) Laboral del Circuito de</w:t>
      </w:r>
    </w:p>
    <w:p w14:paraId="15C56F83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kern w:val="0"/>
          <w:sz w:val="24"/>
          <w:szCs w:val="24"/>
          <w:lang w:val="es-CO"/>
        </w:rPr>
        <w:t>Bogotá</w:t>
      </w:r>
    </w:p>
    <w:p w14:paraId="5253BB6F" w14:textId="23842AC0" w:rsidR="00E83D30" w:rsidRDefault="00E83D30" w:rsidP="00E83D3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TEMA: </w:t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>
        <w:rPr>
          <w:rFonts w:ascii="Helvetica" w:hAnsi="Helvetica" w:cs="Helvetica"/>
          <w:kern w:val="0"/>
          <w:sz w:val="24"/>
          <w:szCs w:val="24"/>
          <w:lang w:val="es-CO"/>
        </w:rPr>
        <w:t>Llamamiento en garantía</w:t>
      </w:r>
    </w:p>
    <w:p w14:paraId="714A746A" w14:textId="724CF368" w:rsidR="00E83D30" w:rsidRDefault="00E83D30" w:rsidP="00E83D3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DECISIÓN: </w:t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 w:rsidR="0072301B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ab/>
      </w:r>
      <w:r>
        <w:rPr>
          <w:rFonts w:ascii="Helvetica" w:hAnsi="Helvetica" w:cs="Helvetica"/>
          <w:kern w:val="0"/>
          <w:sz w:val="24"/>
          <w:szCs w:val="24"/>
          <w:lang w:val="es-CO"/>
        </w:rPr>
        <w:t>CONFIRMA</w:t>
      </w:r>
    </w:p>
    <w:p w14:paraId="524001BC" w14:textId="77777777" w:rsidR="0072301B" w:rsidRDefault="0072301B" w:rsidP="00E83D3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</w:p>
    <w:p w14:paraId="725A785C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  <w:lang w:val="es-CO"/>
        </w:rPr>
      </w:pPr>
    </w:p>
    <w:p w14:paraId="746FEF86" w14:textId="60C9B117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" w:hAnsi="Helvetica" w:cs="Helvetica"/>
          <w:kern w:val="0"/>
          <w:sz w:val="24"/>
          <w:szCs w:val="24"/>
          <w:lang w:val="es-CO"/>
        </w:rPr>
        <w:t>Hoy, treinta (30) de abril de dos mil veinticuatro (2024), el Tribunal Superior</w:t>
      </w:r>
      <w:r w:rsidR="000C2BAC">
        <w:rPr>
          <w:rFonts w:ascii="Helvetica" w:hAnsi="Helvetica" w:cs="Helvetica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 xml:space="preserve">de Distrito Judicial de Bogotá, </w:t>
      </w: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SALA DE DECISIÓN LABORAL INTEGRADA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>por</w:t>
      </w:r>
      <w:r w:rsidR="000C2BAC">
        <w:rPr>
          <w:rFonts w:ascii="Helvetica" w:hAnsi="Helvetica" w:cs="Helvetica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 xml:space="preserve">los Magistrados </w:t>
      </w: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LORENZO TORRES RUSSY, GUSTAVO ALIRIO TUPAZ</w:t>
      </w:r>
      <w:r w:rsidR="000C2BAC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PARRA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 xml:space="preserve">y como Ponente, </w:t>
      </w: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ELCY JIMENA VALENCIA CASTRILLÓN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>, se procede</w:t>
      </w:r>
      <w:r w:rsidR="000C2BAC">
        <w:rPr>
          <w:rFonts w:ascii="Helvetica" w:hAnsi="Helvetica" w:cs="Helvetica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>a proferir la decisión previamente aprobada por esta Sala, en atención a lo</w:t>
      </w:r>
      <w:r w:rsidR="000C2BAC">
        <w:rPr>
          <w:rFonts w:ascii="Helvetica" w:hAnsi="Helvetica" w:cs="Helvetica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>previsto en el artículo 13 de la Ley 2213 de 2022, con el fin de resolver el recurso</w:t>
      </w:r>
      <w:r w:rsidR="000C2BAC">
        <w:rPr>
          <w:rFonts w:ascii="Helvetica" w:hAnsi="Helvetica" w:cs="Helvetica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>de apelación interpuesto por la demandada COLFONDOS S.A. en contra del</w:t>
      </w:r>
      <w:r w:rsidR="000C2BAC">
        <w:rPr>
          <w:rFonts w:ascii="Helvetica" w:hAnsi="Helvetica" w:cs="Helvetica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>Auto del 11 de enero de 2024, proferido por el Juzgado Cuarenta y Dos (42)</w:t>
      </w:r>
      <w:r w:rsidR="000C2BAC">
        <w:rPr>
          <w:rFonts w:ascii="Helvetica" w:hAnsi="Helvetica" w:cs="Helvetica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>Laboral del Circuito de Bogotá, dentro del proceso ordinario promovido por</w:t>
      </w:r>
      <w:r w:rsidR="000C2BAC">
        <w:rPr>
          <w:rFonts w:ascii="Helvetica" w:hAnsi="Helvetica" w:cs="Helvetica"/>
          <w:kern w:val="0"/>
          <w:sz w:val="24"/>
          <w:szCs w:val="24"/>
          <w:lang w:val="es-CO"/>
        </w:rPr>
        <w:t xml:space="preserve"> </w:t>
      </w: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JORGE FLÓREZ BERNAL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 xml:space="preserve">contra la </w:t>
      </w: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ADMINISTRADORA COLOMBIANA DE</w:t>
      </w:r>
      <w:r w:rsidR="000C2BAC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PENSIONES COLPENSIONES, ADMINISTRADORA DE FONDOS DE</w:t>
      </w:r>
      <w:r w:rsidR="000C2BAC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PENSIONES Y CESANTIAS PROTECCIÓN S.A. y COLFONDOS S.A.</w:t>
      </w:r>
      <w:r w:rsidR="000C2BAC"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PENSIONES Y CESANTÌAS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>con radicado No</w:t>
      </w: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. 11001-31-05-042-2023-00239-01.</w:t>
      </w:r>
    </w:p>
    <w:p w14:paraId="54C6117E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</w:p>
    <w:p w14:paraId="0544D800" w14:textId="349BB6F1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>ANTECEDENTES</w:t>
      </w:r>
    </w:p>
    <w:p w14:paraId="2674AA14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47511023" w14:textId="46906A0D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La promotora de la acción, pretende se declare la ineficacia de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traslado del Régimen de Prima Media con Prestación Definida al Régimen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 Ahorro Individual con Solidaridad por falta de información efectuado 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PROTECCIÓN S.A. Que, como consecuencia de lo anterior se ordene a la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AFP privada a la que actualmente se encuentra afiliada a trasladar 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COLPENSIONES, el valor de los dineros por concepto de cotizaciones,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aportes, bonos pensionales, sumas adicionales de la aseguradora, con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todos sus frutos, intereses, rendimientos financieros que se hubieren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 xml:space="preserve">causado y cuotas o gastos de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lastRenderedPageBreak/>
        <w:t>administración, debidamente indexados y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que reposan en la Cuenta de Ahorro Individual del demandante, que se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condene a Colpensiones aceptar el traslado y todo lo anterior aparejado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con costas procesales.</w:t>
      </w:r>
    </w:p>
    <w:p w14:paraId="3AF75870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7B16651E" w14:textId="2FF9A160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El Juzgado Cuarenta y Dos (42) Laboral del Circuito de Bogotá, el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21 de julio de 2023</w:t>
      </w:r>
      <w:r>
        <w:rPr>
          <w:rFonts w:ascii="Helvetica" w:hAnsi="Helvetica" w:cs="Helvetica"/>
          <w:kern w:val="0"/>
          <w:sz w:val="17"/>
          <w:szCs w:val="17"/>
          <w:lang w:val="es-CO"/>
        </w:rPr>
        <w:t>1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, admitió la demanda interpuesta por JORGE FLÓREZ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 xml:space="preserve">BERNAL contra la ADMINISTRADORA COLOMBIANA DE PENSIONES </w:t>
      </w:r>
      <w:r>
        <w:rPr>
          <w:rFonts w:ascii="ArialMT" w:hAnsi="ArialMT" w:cs="ArialMT"/>
          <w:kern w:val="0"/>
          <w:sz w:val="26"/>
          <w:szCs w:val="26"/>
          <w:lang w:val="es-CO"/>
        </w:rPr>
        <w:t>–</w:t>
      </w:r>
      <w:r w:rsidR="000C2BAC">
        <w:rPr>
          <w:rFonts w:ascii="ArialMT" w:hAnsi="ArialMT" w:cs="ArialMT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COLPENSIONES, ADMINISTRADORA DE FONDOS DE PENSIONES Y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CESANTIAS PROTECCION S.A. y COLFONDOS S.A. PENSIONES Y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CESANTIAS.</w:t>
      </w:r>
    </w:p>
    <w:p w14:paraId="073CC22A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28DA99E3" w14:textId="7B42EEA0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Notificada COLFONDOS S.A. y una vez contestada la demanda, se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procedió mediante Auto</w:t>
      </w:r>
      <w:r>
        <w:rPr>
          <w:rFonts w:ascii="Helvetica" w:hAnsi="Helvetica" w:cs="Helvetica"/>
          <w:kern w:val="0"/>
          <w:sz w:val="17"/>
          <w:szCs w:val="17"/>
          <w:lang w:val="es-CO"/>
        </w:rPr>
        <w:t xml:space="preserve">2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del 11 de enero de 2024, a tener por contestada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la demanda de COLFONDOS S.A. y negar el llamamiento en garantía 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efectos que se convoque al juicio a ALLIANZ SEGUROS DE VIDA S.A. con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fundamento en las sentencias SL688-2019, SL4609 de 2021 y SL3188 de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2022, que señala que no es procedente el llamado en garantía, por cuanto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la responsabilidad de eventuales condenas se encuentra exclusivamente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a cargo de las Administradoras de Fondo de Pensiones demandadas y las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controversias respecto de pólizas no es asunto del presente proceso.</w:t>
      </w:r>
    </w:p>
    <w:p w14:paraId="39348943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654E6DC2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>RECURSO DE APELACIÓN</w:t>
      </w:r>
    </w:p>
    <w:p w14:paraId="40F4CEA7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3"/>
          <w:szCs w:val="13"/>
          <w:lang w:val="es-CO"/>
        </w:rPr>
      </w:pPr>
    </w:p>
    <w:p w14:paraId="3C4ED45C" w14:textId="56BD9AA3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La demandada COLFONDOS S.A. presentó recurso de apelación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contra el Auto del 11 de enero de 2024, con el fin de que se revoque de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manera parcial el mencionado Auto, respecto del llamamiento en garantía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que fue negado.</w:t>
      </w:r>
    </w:p>
    <w:p w14:paraId="7BEA3D4C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37B2DD45" w14:textId="21490B57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Como argumentos de su apelación manifestó que, atendiendo que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en cumplimiento de su obligación (artículo 20 de la Ley 100 de 1993),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celebró con ALLIANZ SEGUROS DE VIDA S.A. un contrato de seguro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previsional destinado a amparar los riesgos de invalidez y muerte de los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afiliados a su Fondo Obligatorio de Pensiones (entre ellos el del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demandante), siendo evidente que en caso de que en la sentencia que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ponga fin al proceso se condene a devolver la prima pagada como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contraprestación legal por ese seguro y la entidad llamada a realizar esa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devolución es la aseguradora ALLIANZ SEGUROS DE VIDA S.A</w:t>
      </w:r>
    </w:p>
    <w:p w14:paraId="0C23A9F5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63DF7914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>ALEGATOS DE CONCLUSIÓN</w:t>
      </w:r>
    </w:p>
    <w:p w14:paraId="4431B7C1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3BE9EC1F" w14:textId="35909A00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Dentro de los términos procesales previstos se corrió traslado a las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partes para alegar de conclusión. Cabe anotar que los alegatos de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conclusión no constituyen una nueva oportunidad para complementar el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recurso de apelación interpuesto en primera instancia.</w:t>
      </w:r>
    </w:p>
    <w:p w14:paraId="0E7F3AD0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599C9818" w14:textId="150804B3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lastRenderedPageBreak/>
        <w:t>Surtido el trámite que corresponde a esta instancia procede la Sala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 Decisión a dictar la providencia que corresponde.</w:t>
      </w:r>
    </w:p>
    <w:p w14:paraId="44C0C8F1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6783A77C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>PROBLEMA JURÍDICO</w:t>
      </w:r>
    </w:p>
    <w:p w14:paraId="4A3AF27B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79A37014" w14:textId="51FBD9D9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Conforme al recurso interpuesto, el problema jurídico a resolver se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centra en determinar si es o no procedente acceder al llamamiento en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garantía solicitado por la demandada COLFONDOS S.A.</w:t>
      </w:r>
    </w:p>
    <w:p w14:paraId="73096867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</w:p>
    <w:p w14:paraId="0E0F9852" w14:textId="52752496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>CONSIDERACIONES</w:t>
      </w:r>
    </w:p>
    <w:p w14:paraId="6CA79239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</w:p>
    <w:p w14:paraId="7A800310" w14:textId="0A923A92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La Sala resolverá el recurso siguiendo los lineamientos trazados por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el Artículo 66A del Código Procesal del Trabajo y de la Seguridad Social,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es decir, ciñéndose a lo que es motivo de la impugnación. Conforme al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recurso interpuesto, el problema jurídico a resolver, se centra en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determinar si es o no procedente el llamamiento en garantía que hace la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demandada COLFONDOS S.A. a la ALLIANZ SEGUROS DE VIDA S.A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Pues bien, para resolver la controversia jurídica que se suscita en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este estadio, relativa al llamamiento en garantía que efectúa la convocada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a juicio COLFONDOS S.A. a la aseguradora ALLIANZ SEGUROS DE VIDA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S.A se debe tener en cuenta que el artículo 64 del Código General del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Proceso, aplicable por remisión directa del artículo 145 del Código Procesal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del Trabajo y de la Seguridad Social, dispone lo siguiente:</w:t>
      </w:r>
    </w:p>
    <w:p w14:paraId="22636F71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009109E6" w14:textId="3E359FA1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“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Quien afirme tener derecho legal o contractual a exigir de otro la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indemnización del perjuicio que llegare a sufrir o el reembolso total o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parcial del pago que tuviere que hacer como resultado de la sentencia que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se dicte en el proceso que promueva, o quien de acuerdo con la ley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sustancial tenga derecho al saneamiento por evicción, podrá pedir, en la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demanda o dentro del término para contestarla, que en el mismo proceso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se resuelva sobre tal relación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”.</w:t>
      </w:r>
    </w:p>
    <w:p w14:paraId="1A233219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6F1B37D4" w14:textId="3A65EE98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Frente al anterior instituto jurídico, el tratadista Hernán Fabio López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Blanco, en su obra Código General del Proceso Parte General, págs. 371-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374, instruyó lo siguiente:</w:t>
      </w:r>
    </w:p>
    <w:p w14:paraId="6ACA4CF8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7D986280" w14:textId="03E9ACFF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“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Como característica general del proceso civil hasta principios del siglo XX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se tenía, entre otras, que la controversia solo se planteaba entre la parte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demandante y la parte demandada, sin que nadie distinto de ellas pudiera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intervenir, no obstante que en muchos casos el resultado de la sentencia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influía de manera importante frente a relaciones jurídicas diferentes a la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debatida en el proceso pero relacionadas con otros sujetos procesales,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pues las bases para derivar derechos en su favor u obligaciones a su cargo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se concretaban precisamente en ese fallo judicial al que eran ajenos por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completo, siendo poco lo que posteriormente podía hacerse atendiendo e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l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precedente establecido en la se sentencia repercutía indirectamente</w:t>
      </w:r>
    </w:p>
    <w:p w14:paraId="756BC18E" w14:textId="6A39326B" w:rsidR="00E83D30" w:rsidRDefault="00E83D30" w:rsidP="000C2BA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lastRenderedPageBreak/>
        <w:t xml:space="preserve">respecto de </w:t>
      </w:r>
      <w:proofErr w:type="gramStart"/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ellas.(..)</w:t>
      </w:r>
      <w:proofErr w:type="gramEnd"/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>El artículo 64 del CGP permite hacer la citación en</w:t>
      </w:r>
      <w:r w:rsidR="000C2BAC"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>garantía para todos los casos en los que existe obligación legal o</w:t>
      </w:r>
      <w:r w:rsidR="000C2BAC"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>contractual de garantizar la indemnización de un perjuicio o</w:t>
      </w:r>
      <w:r w:rsidR="000C2BAC"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>reembolso del pago que debiera efectuarse, para que, si hay</w:t>
      </w:r>
      <w:r w:rsidR="000C2BAC"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>necesidad de realizar el pago o indemnizar, se resuelva la relación</w:t>
      </w:r>
      <w:r w:rsidR="000C2BAC"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>jurídica existente entre garante y garantizado en el mismo proceso,</w:t>
      </w:r>
      <w:r w:rsidR="000C2BAC"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>lo que evidencia que el pronunciamiento que se realiza en la</w:t>
      </w:r>
      <w:r w:rsidR="000C2BAC"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>sentencia respecto de la relación jurídica inicial entre demandante y</w:t>
      </w:r>
      <w:r w:rsidR="000C2BAC"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>demando, caso de que su sentido afecte la que determino el</w:t>
      </w:r>
      <w:r w:rsidR="000C2BAC"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>llamamiento, es lo que permite entrar a decidir respecto de la</w:t>
      </w:r>
      <w:r w:rsidR="000C2BAC"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kern w:val="0"/>
          <w:sz w:val="24"/>
          <w:szCs w:val="24"/>
          <w:lang w:val="es-CO"/>
        </w:rPr>
        <w:t>segunda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. (Énfasis de la Sala).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”</w:t>
      </w:r>
    </w:p>
    <w:p w14:paraId="3282148D" w14:textId="77777777" w:rsidR="000C2BAC" w:rsidRDefault="000C2BAC" w:rsidP="000C2BA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5FB4EA9E" w14:textId="03F95FCE" w:rsidR="00E83D30" w:rsidRDefault="00E83D30" w:rsidP="000C2BA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Ahora, la juzgadora de primer grado consideró que no era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procedente el llamamiento en garantía a la aseguradora, pues el seguro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previsional a que hace mención la demandada COLFONDOS S.A., fue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adquirido para el eventual reconocimiento de una pensión de invalidez o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sobrevivencia, más no una posible devolución por conceptos de gastos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previsionales.</w:t>
      </w:r>
    </w:p>
    <w:p w14:paraId="0AC9E3C9" w14:textId="77777777" w:rsidR="000C2BAC" w:rsidRDefault="000C2BAC" w:rsidP="000C2BA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27906CAA" w14:textId="5C1D9D4D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Al respecto, considera la Sala que no le asiste razón a la recurrente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en llamar en garantía a la aseguradora ALLIANZ SEGUROS DE VIDA S.A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por las siguientes razones, veamos: La pretensión principal es la ineficacia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del traslado de régimen pensional efectuado por la parte demandante, que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es un acto jurídico en el cual no participó la aseguradora que se llama en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garantía, ni tampoco como consecuencia de la declaratoria de ineficacia se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condena a esta última a devolver los aportes efectuados por la actora, pues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en el caso hipotético en que se llegase a declarar la ineficacia del traslado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las cosas vuelven a su estado anterior, lo cual implica para la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Administradora de Fondo de Pensiones la devolución a su cargo y de sus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propios recursos de los aportes a pensión, rendimientos financieros y los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gastos de administración, incluidos los valores destinados a cubrir los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seguros de invalidez y sobrevivencia, la garantía de pensión mínima, todo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debidamente indexado, a cita de ejemplo véase las sentencias SL1549-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2022, SL916-2022, SL1125-2022 y la SL4992-2021.</w:t>
      </w:r>
    </w:p>
    <w:p w14:paraId="66C343A3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7AE148A6" w14:textId="637E8893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 xml:space="preserve">De igual forma, se advierte, </w:t>
      </w:r>
      <w:proofErr w:type="gramStart"/>
      <w:r>
        <w:rPr>
          <w:rFonts w:ascii="Helvetica" w:hAnsi="Helvetica" w:cs="Helvetica"/>
          <w:kern w:val="0"/>
          <w:sz w:val="26"/>
          <w:szCs w:val="26"/>
          <w:lang w:val="es-CO"/>
        </w:rPr>
        <w:t>que</w:t>
      </w:r>
      <w:proofErr w:type="gramEnd"/>
      <w:r>
        <w:rPr>
          <w:rFonts w:ascii="Helvetica" w:hAnsi="Helvetica" w:cs="Helvetica"/>
          <w:kern w:val="0"/>
          <w:sz w:val="26"/>
          <w:szCs w:val="26"/>
          <w:lang w:val="es-CO"/>
        </w:rPr>
        <w:t xml:space="preserve"> si bien en virtud de las pólizas de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seguro previsional que se suscribió entre el 1 de enero de 1994 hasta el 31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 diciembre de 2000, las cuales fueron aportadas como prueba dentro del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 xml:space="preserve">escrito de llamamiento </w:t>
      </w:r>
      <w:r>
        <w:rPr>
          <w:rFonts w:ascii="Helvetica" w:hAnsi="Helvetica" w:cs="Helvetica"/>
          <w:kern w:val="0"/>
          <w:lang w:val="es-CO"/>
        </w:rPr>
        <w:t>(Archivo digital No.09 de la carpeta denominada</w:t>
      </w:r>
      <w:r w:rsidR="000C2BAC">
        <w:rPr>
          <w:rFonts w:ascii="Helvetica" w:hAnsi="Helvetica" w:cs="Helvetica"/>
          <w:kern w:val="0"/>
          <w:lang w:val="es-CO"/>
        </w:rPr>
        <w:t xml:space="preserve"> </w:t>
      </w:r>
      <w:r>
        <w:rPr>
          <w:rFonts w:ascii="Helvetica" w:hAnsi="Helvetica" w:cs="Helvetica"/>
          <w:kern w:val="0"/>
          <w:lang w:val="es-CO"/>
        </w:rPr>
        <w:t xml:space="preserve">01PrimeraInstancia),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para el caso de autos no se debate el reconocimiento de</w:t>
      </w:r>
    </w:p>
    <w:p w14:paraId="68A1BEAA" w14:textId="02213BEB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las prestaciones de invalidez o sobrevivencia, ni tampoco existe un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derecho en cabeza del accionante a cargo de la aseguradora, pues a la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fecha no se ha reconocido prestación alguna al demandante.</w:t>
      </w:r>
    </w:p>
    <w:p w14:paraId="504E3EA5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0CF70A7A" w14:textId="21E2B52F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Es decir, en este caso, el derecho legal que alega la entidad llamante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en garantía, surge de la relación contractual que existió con la entidad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llamada, siendo entonces la relación jurídico procesal, el vínculo que se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 xml:space="preserve">genera cuando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lastRenderedPageBreak/>
        <w:t>la A.F.P. contratante que deba devolver los dineros que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pagó a la Aseguradora contratada, sin embargo, conforme a la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jurisprudencia reseñada, la devolución de los gastos de administración y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los seguros previsionales estará a cargo de la administradora de fondo de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pensiones, en este caso, la recurrente que deberá, si así lo desea,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adelantar las acciones administrativas contra las entidades intervinientes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para el respectivo rembolso, pues el mismo órgano de cierre ha definido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como una obligación en cabeza de la AFP ante el incumplimiento de sus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deberes para con el usuario al momento de la afiliación, pues como ya se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indicó el efecto es el retorno de las cosas a su estado inicial, esto es, no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tener por suscrita la afiliación al RAIS por parte del asegurado.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</w:p>
    <w:p w14:paraId="658D711C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7C59AB04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6"/>
          <w:szCs w:val="26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6"/>
          <w:szCs w:val="26"/>
          <w:lang w:val="es-CO"/>
        </w:rPr>
        <w:t>“(…)</w:t>
      </w:r>
    </w:p>
    <w:p w14:paraId="6F9578DB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</w:pPr>
    </w:p>
    <w:p w14:paraId="2B160B6C" w14:textId="153E02F1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Lo anterior por cuanto al declararse la ineficacia del traslado las cosas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vuelven a su estado anterior, de manera que las administradoras tiene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que asumir los deterioros del bien administrado, pues la ineficacia se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declara como consecuencia de la conducta del fondo, al haber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incurrido en la omisión de brindar la información adecuada, oportuna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y suficiente al afiliado, quien tenía derecho a recibirla, no de forma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gratuita, sino con cargo a la comisión de administración de aportes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obligatorios y comisiones por buen desempeño que se descuentan de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la cotización y de su ahorro, deducción autorizada por el artículo 104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de la Ley 100 de 1993, subrogado por el artículo 53 de la Ley 1328 de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2009 y que permite el literal q) del artículo 13 de la Ley 100 de 1993,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adicionado por el artículo 2 de la Ley 797 de 2003, al disponer: Los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costos de administración del sistema general de pensiones permitirán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una comisión razonable a las administradoras y se determinarán en la</w:t>
      </w:r>
    </w:p>
    <w:p w14:paraId="07C0EE4D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forma prevista en la presente Ley.</w:t>
      </w:r>
    </w:p>
    <w:p w14:paraId="4FFAC055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</w:pPr>
    </w:p>
    <w:p w14:paraId="61BC198B" w14:textId="7A368815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Por tal razón, esa declaratoria obliga a las entidades del RAIS a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devolver todos los recursos acumulados en la cuenta de ahorro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individual del titular, ya que los mismos serán utilizados para la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financiación de la prestación pensional a que tenga derecho el afiliado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en el régimen de prima media con prestación definida. Ello, incluye el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reintegro a Colpensiones del saldo de la cuenta individual, sus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rendimientos y los bonos pensionales, los valores cobrados por los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fondos privados a título de gastos de administración y comisiones,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incluidos los aportes para el fondo de garantía de pensión mínima y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las primas de los seguros previsionales, sumas debidamente</w:t>
      </w:r>
    </w:p>
    <w:p w14:paraId="7766F75D" w14:textId="1905E7B4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indexadas, pues, desde el nacimiento del acto ineficaz, estos recursos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han debido ingresar al RPMPD administrado por Colpensiones (CSJ</w:t>
      </w:r>
      <w:r w:rsidR="000C2BAC"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4"/>
          <w:szCs w:val="24"/>
          <w:lang w:val="es-CO"/>
        </w:rPr>
        <w:t>SL2877-2020).</w:t>
      </w:r>
    </w:p>
    <w:p w14:paraId="39BF699E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0667F4FF" w14:textId="4FD8C4EE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En ese sentido, se confirmará la decisión objeto de censura, a través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 la cual se rechazó el llamamiento en garantía, y en consecuencia se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condena en costas a la AFP recurrente de conformidad con las previsiones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del artículo 365 numeral 1° del CGP, se tasa como agencias en derecho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en esta instancia la suma de medio SMLMV.</w:t>
      </w:r>
    </w:p>
    <w:p w14:paraId="282751C3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5D178B54" w14:textId="1BFD08A7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lastRenderedPageBreak/>
        <w:t xml:space="preserve">Por lo expuesto, la </w:t>
      </w: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>SALA DE DECISIÓN LABORAL DEL TRIBUNAL</w:t>
      </w:r>
      <w:r w:rsidR="000C2BAC"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 xml:space="preserve"> </w:t>
      </w: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>SUPERIOR DEL DISTRITO JUDICIAL DE BOGOTÁ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,</w:t>
      </w:r>
    </w:p>
    <w:p w14:paraId="33E1123B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</w:p>
    <w:p w14:paraId="6B48F80B" w14:textId="077879B0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>RESUELVE:</w:t>
      </w:r>
    </w:p>
    <w:p w14:paraId="7BD899C6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</w:p>
    <w:p w14:paraId="0D7BBF94" w14:textId="0E37A847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 xml:space="preserve">PRIMERO: CONFIRMAR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el Auto del 11 de enero de 2024,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proferido por el Juzgado Cuarenta y Dos (42) Laboral del Circuito de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Bogotá D.C. conforme lo expuesto en la parte motiva de esta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providencia.</w:t>
      </w:r>
    </w:p>
    <w:p w14:paraId="003FA260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</w:p>
    <w:p w14:paraId="6B762FA7" w14:textId="5423FE6D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 xml:space="preserve">SEGUNDO: COSTAS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 esta instancia a cargo de la parte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demandada COLFONDOS S.A. Inclúyanse como agencias en derecho la</w:t>
      </w:r>
      <w:r w:rsidR="000C2BAC">
        <w:rPr>
          <w:rFonts w:ascii="Helvetica" w:hAnsi="Helvetica" w:cs="Helvetica"/>
          <w:kern w:val="0"/>
          <w:sz w:val="26"/>
          <w:szCs w:val="26"/>
          <w:lang w:val="es-CO"/>
        </w:rPr>
        <w:t xml:space="preserve"> </w:t>
      </w:r>
      <w:r>
        <w:rPr>
          <w:rFonts w:ascii="Helvetica" w:hAnsi="Helvetica" w:cs="Helvetica"/>
          <w:kern w:val="0"/>
          <w:sz w:val="26"/>
          <w:szCs w:val="26"/>
          <w:lang w:val="es-CO"/>
        </w:rPr>
        <w:t>suma de medio SMLMV.</w:t>
      </w:r>
    </w:p>
    <w:p w14:paraId="7200B2C0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</w:p>
    <w:p w14:paraId="300F05B7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>NOTIFÍQUESE Y CÚMPLASE</w:t>
      </w:r>
    </w:p>
    <w:p w14:paraId="1140D4A4" w14:textId="77777777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6"/>
          <w:szCs w:val="26"/>
          <w:lang w:val="es-CO"/>
        </w:rPr>
      </w:pPr>
      <w:r>
        <w:rPr>
          <w:rFonts w:ascii="Helvetica" w:hAnsi="Helvetica" w:cs="Helvetica"/>
          <w:kern w:val="0"/>
          <w:sz w:val="26"/>
          <w:szCs w:val="26"/>
          <w:lang w:val="es-CO"/>
        </w:rPr>
        <w:t>Los Magistrados,</w:t>
      </w:r>
    </w:p>
    <w:p w14:paraId="241BC531" w14:textId="77777777" w:rsidR="000C2BAC" w:rsidRDefault="000C2BAC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</w:p>
    <w:p w14:paraId="7F2A4AE7" w14:textId="3C550133" w:rsidR="00E83D30" w:rsidRDefault="00E83D30" w:rsidP="0072301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>ELCY JIMENA VALENCIA CASTRILLÓN</w:t>
      </w:r>
    </w:p>
    <w:p w14:paraId="405FC00B" w14:textId="77777777" w:rsidR="000C2BAC" w:rsidRDefault="000C2BAC" w:rsidP="0072301B">
      <w:pPr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</w:p>
    <w:p w14:paraId="111C3338" w14:textId="77777777" w:rsidR="000C2BAC" w:rsidRDefault="00E83D30" w:rsidP="0072301B">
      <w:pPr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 xml:space="preserve">LORENZO TORRES RUSSY </w:t>
      </w:r>
    </w:p>
    <w:p w14:paraId="0A0BBA16" w14:textId="3457386B" w:rsidR="00B9243D" w:rsidRDefault="00E83D30" w:rsidP="0072301B">
      <w:pPr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  <w:t>GUSTAVO ALIRIO TUPAZ PARRA</w:t>
      </w:r>
    </w:p>
    <w:p w14:paraId="7B0AC044" w14:textId="77777777" w:rsidR="000C2BAC" w:rsidRDefault="000C2BAC" w:rsidP="0072301B">
      <w:pPr>
        <w:jc w:val="both"/>
        <w:rPr>
          <w:rFonts w:ascii="Helvetica-Bold" w:hAnsi="Helvetica-Bold" w:cs="Helvetica-Bold"/>
          <w:b/>
          <w:bCs/>
          <w:kern w:val="0"/>
          <w:sz w:val="26"/>
          <w:szCs w:val="26"/>
          <w:lang w:val="es-CO"/>
        </w:rPr>
      </w:pPr>
    </w:p>
    <w:p w14:paraId="0E01FE9A" w14:textId="77777777" w:rsidR="000C2BAC" w:rsidRDefault="000C2BAC" w:rsidP="000C2BAC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  <w:t>Ordinario Laboral</w:t>
      </w:r>
    </w:p>
    <w:p w14:paraId="7D9101E1" w14:textId="77777777" w:rsidR="000C2BAC" w:rsidRDefault="000C2BAC" w:rsidP="000C2BAC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  <w:t>Demandante: JORGE FLÓREZ BERNAL</w:t>
      </w:r>
    </w:p>
    <w:p w14:paraId="3F020DD3" w14:textId="77777777" w:rsidR="000C2BAC" w:rsidRDefault="000C2BAC" w:rsidP="000C2BAC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  <w:t>Demandado: COLPENSIONES Y OTROS.</w:t>
      </w:r>
    </w:p>
    <w:p w14:paraId="4CD91F82" w14:textId="77777777" w:rsidR="000C2BAC" w:rsidRDefault="000C2BAC" w:rsidP="000C2BAC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  <w:t>Radicación: 11001-31-05-042-2023-00239-01</w:t>
      </w:r>
    </w:p>
    <w:p w14:paraId="409A9F7C" w14:textId="77777777" w:rsidR="000C2BAC" w:rsidRDefault="000C2BAC" w:rsidP="000C2BAC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  <w:t>Apelación de Auto</w:t>
      </w:r>
    </w:p>
    <w:p w14:paraId="06E5290C" w14:textId="77777777" w:rsidR="000C2BAC" w:rsidRDefault="000C2BAC" w:rsidP="000C2BAC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  <w:t>Sala Laboral</w:t>
      </w:r>
    </w:p>
    <w:p w14:paraId="20647266" w14:textId="77777777" w:rsidR="000C2BAC" w:rsidRDefault="000C2BAC" w:rsidP="000C2BAC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  <w:t>Tribunal Superior del Distrito Judicial</w:t>
      </w:r>
    </w:p>
    <w:p w14:paraId="48858001" w14:textId="77777777" w:rsidR="000C2BAC" w:rsidRDefault="000C2BAC" w:rsidP="000C2BAC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</w:pPr>
      <w:r>
        <w:rPr>
          <w:rFonts w:ascii="Helvetica-Oblique" w:hAnsi="Helvetica-Oblique" w:cs="Helvetica-Oblique"/>
          <w:i/>
          <w:iCs/>
          <w:kern w:val="0"/>
          <w:sz w:val="16"/>
          <w:szCs w:val="16"/>
          <w:lang w:val="es-CO"/>
        </w:rPr>
        <w:t>Bogotá</w:t>
      </w:r>
    </w:p>
    <w:p w14:paraId="2B7A4DA8" w14:textId="77777777" w:rsidR="000C2BAC" w:rsidRDefault="000C2BAC" w:rsidP="0072301B">
      <w:pPr>
        <w:jc w:val="both"/>
      </w:pPr>
    </w:p>
    <w:sectPr w:rsidR="000C2B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0"/>
    <w:rsid w:val="000C2BAC"/>
    <w:rsid w:val="0058240B"/>
    <w:rsid w:val="0072301B"/>
    <w:rsid w:val="00737460"/>
    <w:rsid w:val="00B9243D"/>
    <w:rsid w:val="00DA03DC"/>
    <w:rsid w:val="00E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60DF"/>
  <w15:chartTrackingRefBased/>
  <w15:docId w15:val="{42FF2D58-70A4-4103-A130-572B8C9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2076</Words>
  <Characters>11424</Characters>
  <Application>Microsoft Office Word</Application>
  <DocSecurity>0</DocSecurity>
  <Lines>95</Lines>
  <Paragraphs>26</Paragraphs>
  <ScaleCrop>false</ScaleCrop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2024-05-06T23:20:00Z</dcterms:created>
  <dcterms:modified xsi:type="dcterms:W3CDTF">2024-05-06T23:32:00Z</dcterms:modified>
</cp:coreProperties>
</file>