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F0A5" w14:textId="7519F4F5" w:rsidR="00561C9E" w:rsidRDefault="00561C9E" w:rsidP="006F512C">
      <w:pPr>
        <w:pStyle w:val="Default"/>
        <w:jc w:val="center"/>
        <w:rPr>
          <w:sz w:val="23"/>
          <w:szCs w:val="23"/>
        </w:rPr>
      </w:pPr>
      <w:r>
        <w:rPr>
          <w:b/>
          <w:bCs/>
          <w:sz w:val="23"/>
          <w:szCs w:val="23"/>
        </w:rPr>
        <w:t>República de Colombia</w:t>
      </w:r>
    </w:p>
    <w:p w14:paraId="68A8BB89" w14:textId="7FD75103" w:rsidR="00561C9E" w:rsidRDefault="00561C9E" w:rsidP="006F512C">
      <w:pPr>
        <w:pStyle w:val="Default"/>
        <w:jc w:val="center"/>
        <w:rPr>
          <w:sz w:val="23"/>
          <w:szCs w:val="23"/>
        </w:rPr>
      </w:pPr>
      <w:r>
        <w:rPr>
          <w:b/>
          <w:bCs/>
          <w:sz w:val="23"/>
          <w:szCs w:val="23"/>
        </w:rPr>
        <w:t>Rama Judicial</w:t>
      </w:r>
    </w:p>
    <w:p w14:paraId="4743AA39" w14:textId="77777777" w:rsidR="006F512C" w:rsidRDefault="006F512C" w:rsidP="006F512C">
      <w:pPr>
        <w:pStyle w:val="Default"/>
        <w:jc w:val="center"/>
        <w:rPr>
          <w:b/>
          <w:bCs/>
          <w:sz w:val="23"/>
          <w:szCs w:val="23"/>
        </w:rPr>
      </w:pPr>
    </w:p>
    <w:p w14:paraId="2C2F6F8E" w14:textId="1B0C707A" w:rsidR="00561C9E" w:rsidRDefault="00561C9E" w:rsidP="006F512C">
      <w:pPr>
        <w:pStyle w:val="Default"/>
        <w:jc w:val="center"/>
        <w:rPr>
          <w:sz w:val="23"/>
          <w:szCs w:val="23"/>
        </w:rPr>
      </w:pPr>
      <w:r>
        <w:rPr>
          <w:b/>
          <w:bCs/>
          <w:sz w:val="23"/>
          <w:szCs w:val="23"/>
        </w:rPr>
        <w:t>JUZGADO QUINCE CIVIL DEL CIRCUITO</w:t>
      </w:r>
    </w:p>
    <w:p w14:paraId="32D76CEF" w14:textId="6295BC9E" w:rsidR="00561C9E" w:rsidRDefault="00561C9E" w:rsidP="006F512C">
      <w:pPr>
        <w:pStyle w:val="Default"/>
        <w:jc w:val="center"/>
        <w:rPr>
          <w:sz w:val="23"/>
          <w:szCs w:val="23"/>
        </w:rPr>
      </w:pPr>
      <w:r>
        <w:rPr>
          <w:sz w:val="23"/>
          <w:szCs w:val="23"/>
        </w:rPr>
        <w:t>Bogotá, D.C., veintitrés (23) de abril de dos mil veinticuatro (2024).</w:t>
      </w:r>
    </w:p>
    <w:p w14:paraId="2CC74E77" w14:textId="77777777" w:rsidR="006F512C" w:rsidRDefault="006F512C" w:rsidP="00561C9E">
      <w:pPr>
        <w:pStyle w:val="Default"/>
        <w:rPr>
          <w:b/>
          <w:bCs/>
          <w:sz w:val="23"/>
          <w:szCs w:val="23"/>
        </w:rPr>
      </w:pPr>
    </w:p>
    <w:p w14:paraId="265170C5" w14:textId="77777777" w:rsidR="00F1486E" w:rsidRDefault="00F1486E" w:rsidP="00561C9E">
      <w:pPr>
        <w:pStyle w:val="Default"/>
        <w:rPr>
          <w:b/>
          <w:bCs/>
          <w:sz w:val="23"/>
          <w:szCs w:val="23"/>
        </w:rPr>
      </w:pPr>
    </w:p>
    <w:p w14:paraId="02CBE17A" w14:textId="77777777" w:rsidR="006F512C" w:rsidRDefault="006F512C" w:rsidP="00561C9E">
      <w:pPr>
        <w:pStyle w:val="Default"/>
        <w:rPr>
          <w:b/>
          <w:bCs/>
          <w:sz w:val="23"/>
          <w:szCs w:val="23"/>
        </w:rPr>
      </w:pPr>
    </w:p>
    <w:p w14:paraId="0D7AD835" w14:textId="6901BD66" w:rsidR="00561C9E" w:rsidRDefault="00561C9E" w:rsidP="00561C9E">
      <w:pPr>
        <w:pStyle w:val="Default"/>
        <w:rPr>
          <w:sz w:val="23"/>
          <w:szCs w:val="23"/>
        </w:rPr>
      </w:pPr>
      <w:r>
        <w:rPr>
          <w:b/>
          <w:bCs/>
          <w:sz w:val="23"/>
          <w:szCs w:val="23"/>
        </w:rPr>
        <w:t xml:space="preserve">Proceso: </w:t>
      </w:r>
      <w:r w:rsidR="006F512C">
        <w:rPr>
          <w:b/>
          <w:bCs/>
          <w:sz w:val="23"/>
          <w:szCs w:val="23"/>
        </w:rPr>
        <w:tab/>
      </w:r>
      <w:r w:rsidR="006F512C">
        <w:rPr>
          <w:b/>
          <w:bCs/>
          <w:sz w:val="23"/>
          <w:szCs w:val="23"/>
        </w:rPr>
        <w:tab/>
      </w:r>
      <w:r>
        <w:rPr>
          <w:sz w:val="23"/>
          <w:szCs w:val="23"/>
        </w:rPr>
        <w:t xml:space="preserve">Verbal </w:t>
      </w:r>
    </w:p>
    <w:p w14:paraId="3CC51264" w14:textId="68C865A9" w:rsidR="00561C9E" w:rsidRDefault="00561C9E" w:rsidP="00561C9E">
      <w:pPr>
        <w:pStyle w:val="Default"/>
        <w:rPr>
          <w:sz w:val="23"/>
          <w:szCs w:val="23"/>
        </w:rPr>
      </w:pPr>
      <w:r>
        <w:rPr>
          <w:b/>
          <w:bCs/>
          <w:sz w:val="23"/>
          <w:szCs w:val="23"/>
        </w:rPr>
        <w:t xml:space="preserve">Demandante: </w:t>
      </w:r>
      <w:r w:rsidR="006F512C">
        <w:rPr>
          <w:b/>
          <w:bCs/>
          <w:sz w:val="23"/>
          <w:szCs w:val="23"/>
        </w:rPr>
        <w:tab/>
      </w:r>
      <w:r>
        <w:rPr>
          <w:sz w:val="23"/>
          <w:szCs w:val="23"/>
        </w:rPr>
        <w:t xml:space="preserve">Carmen Adriana González Mesa y Otras </w:t>
      </w:r>
    </w:p>
    <w:p w14:paraId="6F5F5573" w14:textId="6AF1021F" w:rsidR="00561C9E" w:rsidRDefault="00561C9E" w:rsidP="00561C9E">
      <w:pPr>
        <w:pStyle w:val="Default"/>
        <w:rPr>
          <w:sz w:val="23"/>
          <w:szCs w:val="23"/>
        </w:rPr>
      </w:pPr>
      <w:r>
        <w:rPr>
          <w:b/>
          <w:bCs/>
          <w:sz w:val="23"/>
          <w:szCs w:val="23"/>
        </w:rPr>
        <w:t xml:space="preserve">Demandado: </w:t>
      </w:r>
      <w:r w:rsidR="006F512C">
        <w:rPr>
          <w:b/>
          <w:bCs/>
          <w:sz w:val="23"/>
          <w:szCs w:val="23"/>
        </w:rPr>
        <w:tab/>
      </w:r>
      <w:r>
        <w:rPr>
          <w:sz w:val="23"/>
          <w:szCs w:val="23"/>
        </w:rPr>
        <w:t xml:space="preserve">Caja de Compensación Familiar – Compensar EPS. </w:t>
      </w:r>
    </w:p>
    <w:p w14:paraId="375E15CA" w14:textId="718977AF" w:rsidR="00561C9E" w:rsidRDefault="00561C9E" w:rsidP="00561C9E">
      <w:pPr>
        <w:pStyle w:val="Default"/>
        <w:rPr>
          <w:sz w:val="23"/>
          <w:szCs w:val="23"/>
        </w:rPr>
      </w:pPr>
      <w:r>
        <w:rPr>
          <w:b/>
          <w:bCs/>
          <w:sz w:val="23"/>
          <w:szCs w:val="23"/>
        </w:rPr>
        <w:t xml:space="preserve">Radicación: </w:t>
      </w:r>
      <w:r w:rsidR="006F512C">
        <w:rPr>
          <w:b/>
          <w:bCs/>
          <w:sz w:val="23"/>
          <w:szCs w:val="23"/>
        </w:rPr>
        <w:tab/>
      </w:r>
      <w:r w:rsidR="006F512C">
        <w:rPr>
          <w:b/>
          <w:bCs/>
          <w:sz w:val="23"/>
          <w:szCs w:val="23"/>
        </w:rPr>
        <w:tab/>
      </w:r>
      <w:r>
        <w:rPr>
          <w:sz w:val="23"/>
          <w:szCs w:val="23"/>
        </w:rPr>
        <w:t xml:space="preserve">11001400301520190050300 </w:t>
      </w:r>
    </w:p>
    <w:p w14:paraId="2F76A759" w14:textId="331D4553" w:rsidR="00561C9E" w:rsidRDefault="00561C9E" w:rsidP="00561C9E">
      <w:pPr>
        <w:pStyle w:val="Default"/>
        <w:rPr>
          <w:sz w:val="23"/>
          <w:szCs w:val="23"/>
        </w:rPr>
      </w:pPr>
      <w:r>
        <w:rPr>
          <w:b/>
          <w:bCs/>
          <w:sz w:val="23"/>
          <w:szCs w:val="23"/>
        </w:rPr>
        <w:t xml:space="preserve">Asunto: </w:t>
      </w:r>
      <w:r w:rsidR="006F512C">
        <w:rPr>
          <w:b/>
          <w:bCs/>
          <w:sz w:val="23"/>
          <w:szCs w:val="23"/>
        </w:rPr>
        <w:tab/>
      </w:r>
      <w:r w:rsidR="006F512C">
        <w:rPr>
          <w:b/>
          <w:bCs/>
          <w:sz w:val="23"/>
          <w:szCs w:val="23"/>
        </w:rPr>
        <w:tab/>
      </w:r>
      <w:r>
        <w:rPr>
          <w:sz w:val="23"/>
          <w:szCs w:val="23"/>
        </w:rPr>
        <w:t xml:space="preserve">Auto fija fecha </w:t>
      </w:r>
    </w:p>
    <w:p w14:paraId="36358CA9" w14:textId="77777777" w:rsidR="006F512C" w:rsidRDefault="006F512C" w:rsidP="00561C9E">
      <w:pPr>
        <w:pStyle w:val="Default"/>
        <w:rPr>
          <w:b/>
          <w:bCs/>
          <w:sz w:val="23"/>
          <w:szCs w:val="23"/>
        </w:rPr>
      </w:pPr>
    </w:p>
    <w:p w14:paraId="6989DD75" w14:textId="77777777" w:rsidR="006F512C" w:rsidRDefault="006F512C" w:rsidP="006F512C">
      <w:pPr>
        <w:pStyle w:val="Default"/>
        <w:jc w:val="both"/>
        <w:rPr>
          <w:b/>
          <w:bCs/>
          <w:sz w:val="23"/>
          <w:szCs w:val="23"/>
        </w:rPr>
      </w:pPr>
    </w:p>
    <w:p w14:paraId="75FEC750" w14:textId="3DD1D718" w:rsidR="00561C9E" w:rsidRDefault="00561C9E" w:rsidP="006F512C">
      <w:pPr>
        <w:pStyle w:val="Default"/>
        <w:jc w:val="both"/>
        <w:rPr>
          <w:sz w:val="23"/>
          <w:szCs w:val="23"/>
        </w:rPr>
      </w:pPr>
      <w:r>
        <w:rPr>
          <w:b/>
          <w:bCs/>
          <w:sz w:val="23"/>
          <w:szCs w:val="23"/>
        </w:rPr>
        <w:t xml:space="preserve">1. </w:t>
      </w:r>
      <w:r>
        <w:rPr>
          <w:sz w:val="23"/>
          <w:szCs w:val="23"/>
        </w:rPr>
        <w:t xml:space="preserve">Integrado como se encuentra el contradictorio, se señala la hora de las 8:15 a.m. del día 11 del mes de diciembre del año 2024, a efectos de llevar a cabo la audiencia inicial de que trata el artículo 372 del Código General del Proceso. </w:t>
      </w:r>
    </w:p>
    <w:p w14:paraId="5D395C57" w14:textId="77777777" w:rsidR="006F512C" w:rsidRDefault="006F512C" w:rsidP="006F512C">
      <w:pPr>
        <w:pStyle w:val="Default"/>
        <w:jc w:val="both"/>
        <w:rPr>
          <w:b/>
          <w:bCs/>
          <w:sz w:val="23"/>
          <w:szCs w:val="23"/>
        </w:rPr>
      </w:pPr>
    </w:p>
    <w:p w14:paraId="4A313AED" w14:textId="09E62580" w:rsidR="00561C9E" w:rsidRDefault="00561C9E" w:rsidP="006F512C">
      <w:pPr>
        <w:pStyle w:val="Default"/>
        <w:jc w:val="both"/>
        <w:rPr>
          <w:sz w:val="23"/>
          <w:szCs w:val="23"/>
        </w:rPr>
      </w:pPr>
      <w:r>
        <w:rPr>
          <w:b/>
          <w:bCs/>
          <w:sz w:val="23"/>
          <w:szCs w:val="23"/>
        </w:rPr>
        <w:t xml:space="preserve">1.1. </w:t>
      </w:r>
      <w:r>
        <w:rPr>
          <w:sz w:val="23"/>
          <w:szCs w:val="23"/>
        </w:rPr>
        <w:t xml:space="preserve">Tener en cuenta, que para la realización de la referida audiencia, además que las partes deben estar debidamente representadas por apoderado judicial, se utilizarán las herramientas tecnológicas previstas en el Acuerdo CPCSJA20-11576 de 2020 del Consejo Superior de la Judicatura, en especial la plataforma </w:t>
      </w:r>
      <w:proofErr w:type="spellStart"/>
      <w:r>
        <w:rPr>
          <w:sz w:val="23"/>
          <w:szCs w:val="23"/>
        </w:rPr>
        <w:t>LifeSize</w:t>
      </w:r>
      <w:proofErr w:type="spellEnd"/>
      <w:r>
        <w:rPr>
          <w:sz w:val="23"/>
          <w:szCs w:val="23"/>
        </w:rPr>
        <w:t xml:space="preserve"> y/o Microsoft </w:t>
      </w:r>
      <w:proofErr w:type="spellStart"/>
      <w:r>
        <w:rPr>
          <w:sz w:val="23"/>
          <w:szCs w:val="23"/>
        </w:rPr>
        <w:t>Teams</w:t>
      </w:r>
      <w:proofErr w:type="spellEnd"/>
      <w:r>
        <w:rPr>
          <w:sz w:val="23"/>
          <w:szCs w:val="23"/>
        </w:rPr>
        <w:t xml:space="preserve">, para lo cual, las partes y demás convocados, deberán remitir a este expediente, vía email ccto15bt@cendoj.ramajudicial.gov.co, a más tardar dos (2) días antes de la fecha de la audiencia, las direcciones electrónicas y números telefónicos, advirtiendo que una inobservancia en tal sentido, no implica causal para aplazar la vista pública, la cual, de todas formas iniciará en la fecha y hora atrás señaladas, surtiendo todos los efectos sustanciales y procesales a que haya lugar. </w:t>
      </w:r>
    </w:p>
    <w:p w14:paraId="7D00F97E" w14:textId="77777777" w:rsidR="006F512C" w:rsidRDefault="006F512C" w:rsidP="006F512C">
      <w:pPr>
        <w:pStyle w:val="Default"/>
        <w:jc w:val="both"/>
        <w:rPr>
          <w:b/>
          <w:bCs/>
          <w:sz w:val="23"/>
          <w:szCs w:val="23"/>
        </w:rPr>
      </w:pPr>
    </w:p>
    <w:p w14:paraId="5DAE8178" w14:textId="7C986253" w:rsidR="00561C9E" w:rsidRDefault="00561C9E" w:rsidP="006F512C">
      <w:pPr>
        <w:pStyle w:val="Default"/>
        <w:jc w:val="both"/>
        <w:rPr>
          <w:sz w:val="23"/>
          <w:szCs w:val="23"/>
        </w:rPr>
      </w:pPr>
      <w:r>
        <w:rPr>
          <w:b/>
          <w:bCs/>
          <w:sz w:val="23"/>
          <w:szCs w:val="23"/>
        </w:rPr>
        <w:t xml:space="preserve">1.2. </w:t>
      </w:r>
      <w:r>
        <w:rPr>
          <w:sz w:val="23"/>
          <w:szCs w:val="23"/>
        </w:rPr>
        <w:t xml:space="preserve">Cabe resaltar, que todos los convocados a esta audiencia, deberán estar debidamente capacitados en el manejo de estas herramientas tecnológicas y contar con los medios y equipos óptimos y necesarias para el desarrollo cabal de la audiencia, entre ellos, que sean susceptibles de acceder a internet y que cuenten con cámara y micrófono, para la realización de la misma. </w:t>
      </w:r>
    </w:p>
    <w:p w14:paraId="55528BBD" w14:textId="77777777" w:rsidR="006F512C" w:rsidRDefault="006F512C" w:rsidP="006F512C">
      <w:pPr>
        <w:pStyle w:val="Default"/>
        <w:jc w:val="both"/>
        <w:rPr>
          <w:b/>
          <w:bCs/>
          <w:sz w:val="23"/>
          <w:szCs w:val="23"/>
        </w:rPr>
      </w:pPr>
    </w:p>
    <w:p w14:paraId="0AA9BD9A" w14:textId="297053FB" w:rsidR="00561C9E" w:rsidRDefault="00561C9E" w:rsidP="006F512C">
      <w:pPr>
        <w:pStyle w:val="Default"/>
        <w:jc w:val="both"/>
        <w:rPr>
          <w:sz w:val="23"/>
          <w:szCs w:val="23"/>
        </w:rPr>
      </w:pPr>
      <w:r>
        <w:rPr>
          <w:b/>
          <w:bCs/>
          <w:sz w:val="23"/>
          <w:szCs w:val="23"/>
        </w:rPr>
        <w:t xml:space="preserve">1.3. </w:t>
      </w:r>
      <w:r>
        <w:rPr>
          <w:sz w:val="23"/>
          <w:szCs w:val="23"/>
        </w:rPr>
        <w:t xml:space="preserve">Advertir a las partes que su inasistencia injustificada, dará lugar a las sanciones procesales que dispone el artículo 372 ibidem. Instar a los apoderados para que comuniquen la fecha aquí señalada a sus poderdantes, en desarrollo del principio de lealtad y buena fe, deber que les es impuesto mediante el numeral 8º del art. 71 </w:t>
      </w:r>
      <w:r>
        <w:rPr>
          <w:i/>
          <w:iCs/>
          <w:sz w:val="23"/>
          <w:szCs w:val="23"/>
        </w:rPr>
        <w:t>ibidem</w:t>
      </w:r>
      <w:r>
        <w:rPr>
          <w:sz w:val="23"/>
          <w:szCs w:val="23"/>
        </w:rPr>
        <w:t xml:space="preserve">. </w:t>
      </w:r>
    </w:p>
    <w:p w14:paraId="3BBA2043" w14:textId="77777777" w:rsidR="006F512C" w:rsidRDefault="006F512C" w:rsidP="006F512C">
      <w:pPr>
        <w:pStyle w:val="Default"/>
        <w:jc w:val="both"/>
        <w:rPr>
          <w:b/>
          <w:bCs/>
          <w:sz w:val="23"/>
          <w:szCs w:val="23"/>
        </w:rPr>
      </w:pPr>
    </w:p>
    <w:p w14:paraId="2CDB6ABA" w14:textId="5AC7BD68" w:rsidR="00561C9E" w:rsidRDefault="00561C9E" w:rsidP="006F512C">
      <w:pPr>
        <w:pStyle w:val="Default"/>
        <w:jc w:val="both"/>
        <w:rPr>
          <w:sz w:val="23"/>
          <w:szCs w:val="23"/>
        </w:rPr>
      </w:pPr>
      <w:r>
        <w:rPr>
          <w:b/>
          <w:bCs/>
          <w:sz w:val="23"/>
          <w:szCs w:val="23"/>
        </w:rPr>
        <w:t xml:space="preserve">1.3.1. </w:t>
      </w:r>
      <w:r>
        <w:rPr>
          <w:sz w:val="23"/>
          <w:szCs w:val="23"/>
        </w:rPr>
        <w:t xml:space="preserve">Se pone de presente a los gestores judiciales que la presente audiencia solamente podrá ser suspendida o aplazada en los casos contemplados en la normatividad vigente tal y como lo impone el artículo 5º del Estatuto Procesal Civil, siendo improcedentes las solicitudes elevadas por los abogados para concurrir otra audiencia en la misma fecha como lo refirió la Corte Suprema de Justicia que explicó: </w:t>
      </w:r>
    </w:p>
    <w:p w14:paraId="08CE7591" w14:textId="77777777" w:rsidR="006F512C" w:rsidRDefault="006F512C" w:rsidP="006F512C">
      <w:pPr>
        <w:pStyle w:val="Default"/>
        <w:jc w:val="both"/>
        <w:rPr>
          <w:b/>
          <w:bCs/>
          <w:sz w:val="20"/>
          <w:szCs w:val="20"/>
        </w:rPr>
      </w:pPr>
    </w:p>
    <w:p w14:paraId="75797AB2" w14:textId="3236DA28" w:rsidR="00561C9E" w:rsidRDefault="00561C9E" w:rsidP="00313FB9">
      <w:pPr>
        <w:pStyle w:val="Default"/>
        <w:jc w:val="both"/>
        <w:rPr>
          <w:b/>
          <w:bCs/>
          <w:color w:val="auto"/>
          <w:sz w:val="20"/>
          <w:szCs w:val="20"/>
        </w:rPr>
      </w:pPr>
      <w:r>
        <w:rPr>
          <w:b/>
          <w:bCs/>
          <w:sz w:val="20"/>
          <w:szCs w:val="20"/>
        </w:rPr>
        <w:t>“</w:t>
      </w:r>
      <w:r>
        <w:rPr>
          <w:sz w:val="20"/>
          <w:szCs w:val="20"/>
        </w:rPr>
        <w:t xml:space="preserve">Así las cosas, el régimen de inasistencia previsto en esa disposición se dirige fundamentalmente a ellas, no a sus defensores ni a otros terceros, pues basta la excusa de cualquiera o la inasistencia </w:t>
      </w:r>
      <w:r>
        <w:rPr>
          <w:sz w:val="20"/>
          <w:szCs w:val="20"/>
        </w:rPr>
        <w:lastRenderedPageBreak/>
        <w:t xml:space="preserve">de ambas para no realizar “la diligencia”. No acontece lo mismo </w:t>
      </w:r>
      <w:r>
        <w:rPr>
          <w:color w:val="auto"/>
          <w:sz w:val="20"/>
          <w:szCs w:val="20"/>
        </w:rPr>
        <w:t>cuando el móvil de “suspensión o aplazamiento” proviene directamente de los apoderados, habida cuenta que los cánones 372, 373 y 327 no lo autorizan expresamente.</w:t>
      </w:r>
      <w:r>
        <w:rPr>
          <w:b/>
          <w:bCs/>
          <w:color w:val="auto"/>
          <w:sz w:val="20"/>
          <w:szCs w:val="20"/>
        </w:rPr>
        <w:t>”</w:t>
      </w:r>
      <w:r w:rsidR="00313FB9">
        <w:rPr>
          <w:b/>
          <w:bCs/>
          <w:color w:val="auto"/>
          <w:sz w:val="20"/>
          <w:szCs w:val="20"/>
        </w:rPr>
        <w:t xml:space="preserve"> </w:t>
      </w:r>
    </w:p>
    <w:p w14:paraId="4E96953A" w14:textId="77777777" w:rsidR="00313FB9" w:rsidRDefault="00313FB9" w:rsidP="00313FB9">
      <w:pPr>
        <w:pStyle w:val="Default"/>
        <w:jc w:val="both"/>
        <w:rPr>
          <w:color w:val="auto"/>
          <w:sz w:val="13"/>
          <w:szCs w:val="13"/>
        </w:rPr>
      </w:pPr>
    </w:p>
    <w:p w14:paraId="5064E5FD" w14:textId="77777777" w:rsidR="00561C9E" w:rsidRDefault="00561C9E" w:rsidP="006F512C">
      <w:pPr>
        <w:pStyle w:val="Default"/>
        <w:jc w:val="both"/>
        <w:rPr>
          <w:color w:val="auto"/>
          <w:sz w:val="23"/>
          <w:szCs w:val="23"/>
        </w:rPr>
      </w:pPr>
      <w:r>
        <w:rPr>
          <w:b/>
          <w:bCs/>
          <w:color w:val="auto"/>
          <w:sz w:val="23"/>
          <w:szCs w:val="23"/>
        </w:rPr>
        <w:t xml:space="preserve">1.4. </w:t>
      </w:r>
      <w:r>
        <w:rPr>
          <w:color w:val="auto"/>
          <w:sz w:val="23"/>
          <w:szCs w:val="23"/>
        </w:rPr>
        <w:t xml:space="preserve">En virtud de lo dispuesto en el artículo 7° de la Ley 2213 del 13 de junio de 2022, se autoriza a secretaría para que vía correo electrónico o telefónico coordine con los apoderados, partes e intervinientes los aspectos necesarios para llevar a cabo la audiencia aquí convocada, así como para que resuelva las dudas que surjan sobre los aspectos técnicos requeridos. </w:t>
      </w:r>
    </w:p>
    <w:p w14:paraId="30C34F6B" w14:textId="77777777" w:rsidR="00313FB9" w:rsidRDefault="00313FB9" w:rsidP="006F512C">
      <w:pPr>
        <w:pStyle w:val="Default"/>
        <w:jc w:val="both"/>
        <w:rPr>
          <w:b/>
          <w:bCs/>
          <w:color w:val="auto"/>
          <w:sz w:val="23"/>
          <w:szCs w:val="23"/>
        </w:rPr>
      </w:pPr>
    </w:p>
    <w:p w14:paraId="49D80755" w14:textId="01E7B2CF" w:rsidR="00561C9E" w:rsidRDefault="00561C9E" w:rsidP="006F512C">
      <w:pPr>
        <w:pStyle w:val="Default"/>
        <w:jc w:val="both"/>
        <w:rPr>
          <w:color w:val="auto"/>
          <w:sz w:val="23"/>
          <w:szCs w:val="23"/>
        </w:rPr>
      </w:pPr>
      <w:r>
        <w:rPr>
          <w:b/>
          <w:bCs/>
          <w:color w:val="auto"/>
          <w:sz w:val="23"/>
          <w:szCs w:val="23"/>
        </w:rPr>
        <w:t xml:space="preserve">NOTIFÍQUESE, </w:t>
      </w:r>
    </w:p>
    <w:p w14:paraId="2A7988CF" w14:textId="77777777" w:rsidR="00313FB9" w:rsidRDefault="00313FB9" w:rsidP="006F512C">
      <w:pPr>
        <w:pStyle w:val="Default"/>
        <w:jc w:val="both"/>
        <w:rPr>
          <w:b/>
          <w:bCs/>
          <w:color w:val="auto"/>
          <w:sz w:val="23"/>
          <w:szCs w:val="23"/>
        </w:rPr>
      </w:pPr>
    </w:p>
    <w:p w14:paraId="7F9E1B58" w14:textId="4FCA99C2" w:rsidR="00561C9E" w:rsidRDefault="00561C9E" w:rsidP="006F512C">
      <w:pPr>
        <w:pStyle w:val="Default"/>
        <w:jc w:val="both"/>
        <w:rPr>
          <w:color w:val="auto"/>
          <w:sz w:val="23"/>
          <w:szCs w:val="23"/>
        </w:rPr>
      </w:pPr>
      <w:r>
        <w:rPr>
          <w:b/>
          <w:bCs/>
          <w:color w:val="auto"/>
          <w:sz w:val="23"/>
          <w:szCs w:val="23"/>
        </w:rPr>
        <w:t xml:space="preserve">ORLANDO GILBERT HERNÁNDEZ MONTAÑÉZ </w:t>
      </w:r>
    </w:p>
    <w:p w14:paraId="2E8D1445" w14:textId="6F8C0C81" w:rsidR="00B9243D" w:rsidRDefault="00561C9E" w:rsidP="006F512C">
      <w:pPr>
        <w:jc w:val="both"/>
      </w:pPr>
      <w:r>
        <w:rPr>
          <w:b/>
          <w:bCs/>
          <w:sz w:val="23"/>
          <w:szCs w:val="23"/>
        </w:rPr>
        <w:t>Juez</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9E"/>
    <w:rsid w:val="000228CF"/>
    <w:rsid w:val="00313FB9"/>
    <w:rsid w:val="00561C9E"/>
    <w:rsid w:val="006F512C"/>
    <w:rsid w:val="00737460"/>
    <w:rsid w:val="00B9243D"/>
    <w:rsid w:val="00DA03DC"/>
    <w:rsid w:val="00F1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603E"/>
  <w15:chartTrackingRefBased/>
  <w15:docId w15:val="{1824C3A3-2DEF-41BA-8877-79A08C5A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61C9E"/>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2878</Characters>
  <Application>Microsoft Office Word</Application>
  <DocSecurity>0</DocSecurity>
  <Lines>23</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2024-04-24T15:59:00Z</dcterms:created>
  <dcterms:modified xsi:type="dcterms:W3CDTF">2024-04-24T16:03:00Z</dcterms:modified>
</cp:coreProperties>
</file>