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F996" w14:textId="19752A73"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5E6D5F">
        <w:rPr>
          <w:rFonts w:ascii="Arial" w:hAnsi="Arial" w:cs="Arial"/>
        </w:rPr>
        <w:t>04 de octubre</w:t>
      </w:r>
      <w:r w:rsidR="00E2355A">
        <w:rPr>
          <w:rFonts w:ascii="Arial" w:hAnsi="Arial" w:cs="Arial"/>
        </w:rPr>
        <w:t xml:space="preserve">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13"/>
      </w:tblGrid>
      <w:tr w:rsidR="00430052" w14:paraId="1C0E494E" w14:textId="77777777" w:rsidTr="00430052">
        <w:tc>
          <w:tcPr>
            <w:tcW w:w="2268" w:type="dxa"/>
            <w:vAlign w:val="center"/>
            <w:hideMark/>
          </w:tcPr>
          <w:p w14:paraId="2056EDAD" w14:textId="77777777" w:rsidR="00430052" w:rsidRDefault="00430052" w:rsidP="00430052">
            <w:pPr>
              <w:spacing w:line="360" w:lineRule="auto"/>
              <w:rPr>
                <w:rFonts w:ascii="Arial" w:hAnsi="Arial" w:cs="Arial"/>
                <w:b/>
                <w:bCs/>
                <w:lang w:val="es-CO"/>
              </w:rPr>
            </w:pPr>
            <w:r>
              <w:rPr>
                <w:rFonts w:ascii="Arial" w:hAnsi="Arial" w:cs="Arial"/>
                <w:b/>
                <w:bCs/>
              </w:rPr>
              <w:t>DESPACHO:</w:t>
            </w:r>
          </w:p>
        </w:tc>
        <w:tc>
          <w:tcPr>
            <w:tcW w:w="7513" w:type="dxa"/>
            <w:hideMark/>
          </w:tcPr>
          <w:p w14:paraId="41E8D3B3" w14:textId="69A8C3A3" w:rsidR="00430052" w:rsidRDefault="00430052" w:rsidP="00430052">
            <w:pPr>
              <w:spacing w:line="360" w:lineRule="auto"/>
              <w:rPr>
                <w:rFonts w:ascii="Arial" w:hAnsi="Arial" w:cs="Arial"/>
              </w:rPr>
            </w:pPr>
            <w:r w:rsidRPr="00235094">
              <w:t>JUZGADO CUARENTA Y NUEVE (49) CIVIL DEL CIRCUITO DE BOGOTÁ</w:t>
            </w:r>
          </w:p>
        </w:tc>
      </w:tr>
      <w:tr w:rsidR="00430052" w14:paraId="4AEC2258" w14:textId="77777777" w:rsidTr="00430052">
        <w:tc>
          <w:tcPr>
            <w:tcW w:w="2268" w:type="dxa"/>
            <w:vAlign w:val="center"/>
            <w:hideMark/>
          </w:tcPr>
          <w:p w14:paraId="6B1EEF8E" w14:textId="77777777" w:rsidR="00430052" w:rsidRDefault="00430052" w:rsidP="00430052">
            <w:pPr>
              <w:spacing w:line="360" w:lineRule="auto"/>
              <w:rPr>
                <w:rFonts w:ascii="Arial" w:hAnsi="Arial" w:cs="Arial"/>
                <w:b/>
                <w:bCs/>
              </w:rPr>
            </w:pPr>
            <w:r>
              <w:rPr>
                <w:rFonts w:ascii="Arial" w:hAnsi="Arial" w:cs="Arial"/>
                <w:b/>
                <w:bCs/>
              </w:rPr>
              <w:t>REFERENCIA:</w:t>
            </w:r>
          </w:p>
        </w:tc>
        <w:tc>
          <w:tcPr>
            <w:tcW w:w="7513" w:type="dxa"/>
            <w:hideMark/>
          </w:tcPr>
          <w:p w14:paraId="1CD8F999" w14:textId="10391019" w:rsidR="00430052" w:rsidRDefault="00430052" w:rsidP="00430052">
            <w:pPr>
              <w:spacing w:line="360" w:lineRule="auto"/>
              <w:rPr>
                <w:rFonts w:ascii="Arial" w:hAnsi="Arial" w:cs="Arial"/>
              </w:rPr>
            </w:pPr>
            <w:r w:rsidRPr="00235094">
              <w:t>PROCESO VERBAL</w:t>
            </w:r>
          </w:p>
        </w:tc>
      </w:tr>
      <w:tr w:rsidR="00430052" w14:paraId="3D45C326" w14:textId="77777777" w:rsidTr="00430052">
        <w:tc>
          <w:tcPr>
            <w:tcW w:w="2268" w:type="dxa"/>
            <w:vAlign w:val="center"/>
            <w:hideMark/>
          </w:tcPr>
          <w:p w14:paraId="5FEE79E9" w14:textId="77777777" w:rsidR="00430052" w:rsidRDefault="00430052" w:rsidP="00430052">
            <w:pPr>
              <w:spacing w:line="360" w:lineRule="auto"/>
              <w:rPr>
                <w:rFonts w:ascii="Arial" w:hAnsi="Arial" w:cs="Arial"/>
                <w:b/>
                <w:bCs/>
              </w:rPr>
            </w:pPr>
            <w:r>
              <w:rPr>
                <w:rFonts w:ascii="Arial" w:hAnsi="Arial" w:cs="Arial"/>
                <w:b/>
                <w:bCs/>
              </w:rPr>
              <w:t>RADICADO:</w:t>
            </w:r>
          </w:p>
        </w:tc>
        <w:tc>
          <w:tcPr>
            <w:tcW w:w="7513" w:type="dxa"/>
            <w:hideMark/>
          </w:tcPr>
          <w:p w14:paraId="5AC7C7B8" w14:textId="303D6742" w:rsidR="00430052" w:rsidRDefault="00430052" w:rsidP="00430052">
            <w:pPr>
              <w:spacing w:line="360" w:lineRule="auto"/>
              <w:rPr>
                <w:rFonts w:ascii="Arial" w:hAnsi="Arial" w:cs="Arial"/>
              </w:rPr>
            </w:pPr>
            <w:r w:rsidRPr="00235094">
              <w:t>110013103049-</w:t>
            </w:r>
            <w:r w:rsidRPr="007E3451">
              <w:rPr>
                <w:b/>
                <w:bCs/>
                <w:u w:val="single"/>
              </w:rPr>
              <w:t>2021-00434</w:t>
            </w:r>
            <w:r w:rsidRPr="00235094">
              <w:t>-00</w:t>
            </w:r>
          </w:p>
        </w:tc>
      </w:tr>
      <w:tr w:rsidR="00430052" w14:paraId="11E3790B" w14:textId="77777777" w:rsidTr="00430052">
        <w:tc>
          <w:tcPr>
            <w:tcW w:w="2268" w:type="dxa"/>
            <w:vAlign w:val="center"/>
            <w:hideMark/>
          </w:tcPr>
          <w:p w14:paraId="385C5276" w14:textId="2DC5667D" w:rsidR="00430052" w:rsidRDefault="00430052" w:rsidP="00430052">
            <w:pPr>
              <w:spacing w:line="360" w:lineRule="auto"/>
              <w:rPr>
                <w:rFonts w:ascii="Arial" w:hAnsi="Arial" w:cs="Arial"/>
                <w:b/>
                <w:bCs/>
              </w:rPr>
            </w:pPr>
            <w:r>
              <w:rPr>
                <w:rFonts w:ascii="Arial" w:hAnsi="Arial" w:cs="Arial"/>
                <w:b/>
                <w:bCs/>
              </w:rPr>
              <w:t>DEMANDANTES:</w:t>
            </w:r>
          </w:p>
        </w:tc>
        <w:tc>
          <w:tcPr>
            <w:tcW w:w="7513" w:type="dxa"/>
            <w:hideMark/>
          </w:tcPr>
          <w:p w14:paraId="48D4418C" w14:textId="5F36BD2F" w:rsidR="00430052" w:rsidRDefault="00430052" w:rsidP="00430052">
            <w:pPr>
              <w:spacing w:line="360" w:lineRule="auto"/>
              <w:rPr>
                <w:rFonts w:ascii="Arial" w:hAnsi="Arial" w:cs="Arial"/>
              </w:rPr>
            </w:pPr>
            <w:r w:rsidRPr="00235094">
              <w:t>SANDRA MILENA RESTREPO Y OTRO</w:t>
            </w:r>
          </w:p>
        </w:tc>
      </w:tr>
      <w:tr w:rsidR="00430052" w14:paraId="3E31FFF8" w14:textId="77777777" w:rsidTr="00430052">
        <w:tc>
          <w:tcPr>
            <w:tcW w:w="2268" w:type="dxa"/>
            <w:vAlign w:val="center"/>
            <w:hideMark/>
          </w:tcPr>
          <w:p w14:paraId="5EA76506" w14:textId="42B8CC94" w:rsidR="00430052" w:rsidRDefault="00430052" w:rsidP="00430052">
            <w:pPr>
              <w:spacing w:line="360" w:lineRule="auto"/>
              <w:rPr>
                <w:rFonts w:ascii="Arial" w:hAnsi="Arial" w:cs="Arial"/>
                <w:b/>
                <w:bCs/>
              </w:rPr>
            </w:pPr>
            <w:r>
              <w:rPr>
                <w:rFonts w:ascii="Arial" w:hAnsi="Arial" w:cs="Arial"/>
                <w:b/>
                <w:bCs/>
              </w:rPr>
              <w:t>DEMANDADOS:</w:t>
            </w:r>
          </w:p>
        </w:tc>
        <w:tc>
          <w:tcPr>
            <w:tcW w:w="7513" w:type="dxa"/>
            <w:hideMark/>
          </w:tcPr>
          <w:p w14:paraId="56DB82B3" w14:textId="1734B41C" w:rsidR="00430052" w:rsidRDefault="00430052" w:rsidP="00430052">
            <w:pPr>
              <w:spacing w:line="360" w:lineRule="auto"/>
              <w:rPr>
                <w:rFonts w:ascii="Arial" w:hAnsi="Arial" w:cs="Arial"/>
              </w:rPr>
            </w:pPr>
            <w:r w:rsidRPr="00235094">
              <w:t>HOSPITAL INFANTIL UNIVERSITARIO SAN JOSÉ Y OTRO</w:t>
            </w:r>
          </w:p>
        </w:tc>
      </w:tr>
      <w:tr w:rsidR="00430052" w14:paraId="33C467AB" w14:textId="77777777" w:rsidTr="00430052">
        <w:tc>
          <w:tcPr>
            <w:tcW w:w="2268" w:type="dxa"/>
            <w:vAlign w:val="center"/>
            <w:hideMark/>
          </w:tcPr>
          <w:p w14:paraId="422EF08E" w14:textId="77777777" w:rsidR="00430052" w:rsidRDefault="00430052" w:rsidP="00430052">
            <w:pPr>
              <w:spacing w:line="360" w:lineRule="auto"/>
              <w:rPr>
                <w:rFonts w:ascii="Arial" w:hAnsi="Arial" w:cs="Arial"/>
                <w:b/>
                <w:bCs/>
              </w:rPr>
            </w:pPr>
            <w:r>
              <w:rPr>
                <w:rFonts w:ascii="Arial" w:hAnsi="Arial" w:cs="Arial"/>
                <w:b/>
                <w:bCs/>
              </w:rPr>
              <w:t>AUDIENCIA:</w:t>
            </w:r>
          </w:p>
        </w:tc>
        <w:tc>
          <w:tcPr>
            <w:tcW w:w="7513" w:type="dxa"/>
            <w:hideMark/>
          </w:tcPr>
          <w:p w14:paraId="1DCF4630" w14:textId="6038AF37" w:rsidR="00430052" w:rsidRDefault="00430052" w:rsidP="00430052">
            <w:pPr>
              <w:spacing w:line="360" w:lineRule="auto"/>
              <w:rPr>
                <w:rFonts w:ascii="Arial" w:hAnsi="Arial" w:cs="Arial"/>
              </w:rPr>
            </w:pPr>
            <w:r w:rsidRPr="00235094">
              <w:t>INSTRUCCIÓN Y JUZGAMIENTO ART. 373 C.G.P.</w:t>
            </w:r>
          </w:p>
        </w:tc>
      </w:tr>
      <w:tr w:rsidR="00430052" w14:paraId="1A3A7257" w14:textId="77777777" w:rsidTr="00430052">
        <w:tc>
          <w:tcPr>
            <w:tcW w:w="2268" w:type="dxa"/>
            <w:vAlign w:val="center"/>
            <w:hideMark/>
          </w:tcPr>
          <w:p w14:paraId="10C9E8DC" w14:textId="61BC465B" w:rsidR="00430052" w:rsidRDefault="00430052" w:rsidP="00430052">
            <w:pPr>
              <w:spacing w:line="360" w:lineRule="auto"/>
              <w:rPr>
                <w:rFonts w:ascii="Arial" w:hAnsi="Arial" w:cs="Arial"/>
                <w:b/>
                <w:bCs/>
              </w:rPr>
            </w:pPr>
            <w:r>
              <w:rPr>
                <w:rFonts w:ascii="Arial" w:hAnsi="Arial" w:cs="Arial"/>
                <w:b/>
                <w:bCs/>
              </w:rPr>
              <w:t>FECHAS:</w:t>
            </w:r>
          </w:p>
        </w:tc>
        <w:tc>
          <w:tcPr>
            <w:tcW w:w="7513" w:type="dxa"/>
            <w:hideMark/>
          </w:tcPr>
          <w:p w14:paraId="2CF6FC51" w14:textId="3ECC6CB1" w:rsidR="00430052" w:rsidRDefault="0058414D" w:rsidP="00430052">
            <w:pPr>
              <w:spacing w:line="360" w:lineRule="auto"/>
              <w:rPr>
                <w:rFonts w:ascii="Arial" w:hAnsi="Arial" w:cs="Arial"/>
              </w:rPr>
            </w:pPr>
            <w:r>
              <w:t>02 DE OCTUBRE</w:t>
            </w:r>
            <w:r w:rsidR="00430052" w:rsidRPr="00235094">
              <w:t xml:space="preserve"> DE 2024</w:t>
            </w:r>
          </w:p>
        </w:tc>
      </w:tr>
    </w:tbl>
    <w:p w14:paraId="4AE6B17A" w14:textId="77777777" w:rsidR="00A81EE5" w:rsidRDefault="00A81EE5" w:rsidP="00A81EE5">
      <w:pPr>
        <w:pStyle w:val="Sinespaciado"/>
        <w:spacing w:line="360" w:lineRule="auto"/>
        <w:rPr>
          <w:rFonts w:ascii="Arial" w:hAnsi="Arial" w:cs="Arial"/>
          <w:b/>
          <w:bCs/>
          <w:u w:val="single"/>
        </w:rPr>
      </w:pPr>
    </w:p>
    <w:p w14:paraId="4AFD9342" w14:textId="77777777" w:rsidR="00B43A80" w:rsidRDefault="00B43A80" w:rsidP="00B43A80">
      <w:pPr>
        <w:pStyle w:val="Sinespaciado"/>
        <w:spacing w:line="360" w:lineRule="auto"/>
        <w:rPr>
          <w:rFonts w:ascii="Arial" w:hAnsi="Arial" w:cs="Arial"/>
        </w:rPr>
      </w:pPr>
    </w:p>
    <w:p w14:paraId="76632BE1" w14:textId="1C716EA6" w:rsidR="000238E4" w:rsidRPr="00D15356" w:rsidRDefault="000238E4" w:rsidP="0074054E">
      <w:pPr>
        <w:pStyle w:val="Sinespaciado"/>
        <w:numPr>
          <w:ilvl w:val="0"/>
          <w:numId w:val="5"/>
        </w:numPr>
        <w:spacing w:line="360" w:lineRule="auto"/>
        <w:jc w:val="center"/>
        <w:rPr>
          <w:rFonts w:ascii="Arial" w:hAnsi="Arial" w:cs="Arial"/>
          <w:b/>
          <w:bCs/>
        </w:rPr>
      </w:pPr>
      <w:r w:rsidRPr="00D15356">
        <w:rPr>
          <w:rFonts w:ascii="Arial" w:hAnsi="Arial" w:cs="Arial"/>
          <w:b/>
          <w:bCs/>
        </w:rPr>
        <w:t>PRACTICA DE PRUEBAS</w:t>
      </w:r>
    </w:p>
    <w:p w14:paraId="1BB9F4E1" w14:textId="77777777" w:rsidR="0041547E" w:rsidRDefault="0041547E" w:rsidP="00ED1356">
      <w:pPr>
        <w:pStyle w:val="Sinespaciado"/>
        <w:spacing w:line="360" w:lineRule="auto"/>
        <w:jc w:val="both"/>
        <w:rPr>
          <w:rFonts w:ascii="Arial" w:hAnsi="Arial" w:cs="Arial"/>
          <w:b/>
          <w:bCs/>
          <w:u w:val="single"/>
        </w:rPr>
      </w:pPr>
    </w:p>
    <w:p w14:paraId="493EDF83" w14:textId="526353D2" w:rsidR="00ED1356" w:rsidRDefault="00330193" w:rsidP="0041547E">
      <w:pPr>
        <w:pStyle w:val="Sinespaciado"/>
        <w:numPr>
          <w:ilvl w:val="0"/>
          <w:numId w:val="9"/>
        </w:numPr>
        <w:spacing w:line="360" w:lineRule="auto"/>
        <w:jc w:val="both"/>
        <w:rPr>
          <w:rFonts w:ascii="Arial" w:hAnsi="Arial" w:cs="Arial"/>
          <w:b/>
          <w:bCs/>
        </w:rPr>
      </w:pPr>
      <w:r>
        <w:rPr>
          <w:rFonts w:ascii="Arial" w:hAnsi="Arial" w:cs="Arial"/>
          <w:b/>
          <w:bCs/>
        </w:rPr>
        <w:t>DICTAMEN PERICIAL</w:t>
      </w:r>
    </w:p>
    <w:p w14:paraId="588F921D" w14:textId="77777777" w:rsidR="00D46094" w:rsidRDefault="00D46094" w:rsidP="00D46094">
      <w:pPr>
        <w:pStyle w:val="Sinespaciado"/>
        <w:spacing w:line="360" w:lineRule="auto"/>
        <w:jc w:val="both"/>
        <w:rPr>
          <w:rFonts w:ascii="Arial" w:hAnsi="Arial" w:cs="Arial"/>
          <w:b/>
          <w:bCs/>
        </w:rPr>
      </w:pPr>
    </w:p>
    <w:p w14:paraId="55CFEB33" w14:textId="77777777" w:rsidR="00D24A08" w:rsidRPr="00D24A08" w:rsidRDefault="00D24A08" w:rsidP="00F37761">
      <w:pPr>
        <w:pStyle w:val="Sinespaciado"/>
        <w:spacing w:line="360" w:lineRule="auto"/>
        <w:jc w:val="both"/>
        <w:rPr>
          <w:b/>
          <w:bCs/>
          <w:u w:val="single"/>
        </w:rPr>
      </w:pPr>
      <w:r w:rsidRPr="00D24A08">
        <w:rPr>
          <w:b/>
          <w:bCs/>
          <w:u w:val="single"/>
        </w:rPr>
        <w:t>ANGELA PATIÑO (PERITO PSICOLOGIA)</w:t>
      </w:r>
    </w:p>
    <w:p w14:paraId="247EEFA7" w14:textId="77777777" w:rsidR="00D24A08" w:rsidRDefault="00D24A08" w:rsidP="00F37761">
      <w:pPr>
        <w:pStyle w:val="Sinespaciado"/>
        <w:spacing w:line="360" w:lineRule="auto"/>
        <w:jc w:val="both"/>
      </w:pPr>
    </w:p>
    <w:p w14:paraId="34BC9144" w14:textId="77777777" w:rsidR="00D24A08" w:rsidRDefault="00D24A08" w:rsidP="00F37761">
      <w:pPr>
        <w:pStyle w:val="Sinespaciado"/>
        <w:spacing w:line="360" w:lineRule="auto"/>
        <w:jc w:val="both"/>
      </w:pPr>
      <w:r>
        <w:t>9 años ejerciendo como psicóloga. Ha realizado evaluaciones psicológicas por el proceso de duelo y perdida de familiares. En la especialización de psicología forense se estudian los instrumentos de la evaluación de personas en proceso de duelo.</w:t>
      </w:r>
    </w:p>
    <w:p w14:paraId="7C68A8E9" w14:textId="77777777" w:rsidR="000C22C1" w:rsidRDefault="000C22C1" w:rsidP="00F37761">
      <w:pPr>
        <w:pStyle w:val="Sinespaciado"/>
        <w:spacing w:line="360" w:lineRule="auto"/>
        <w:jc w:val="both"/>
      </w:pPr>
    </w:p>
    <w:p w14:paraId="411DAF00" w14:textId="77777777" w:rsidR="00D24A08" w:rsidRDefault="00D24A08" w:rsidP="00F37761">
      <w:pPr>
        <w:pStyle w:val="Sinespaciado"/>
        <w:spacing w:line="360" w:lineRule="auto"/>
        <w:jc w:val="both"/>
      </w:pPr>
      <w:r>
        <w:t xml:space="preserve">El objetivo era establecer el estado mental, si existía algún tipo de alteración psicológica y secuelas por la muerte de la menor. La selección de los instrumentos atiende al nivel de escolaridad y capacidad de entendimiento de los evaluados. </w:t>
      </w:r>
    </w:p>
    <w:p w14:paraId="621DC53C" w14:textId="77777777" w:rsidR="000C22C1" w:rsidRDefault="000C22C1" w:rsidP="00F37761">
      <w:pPr>
        <w:pStyle w:val="Sinespaciado"/>
        <w:spacing w:line="360" w:lineRule="auto"/>
        <w:jc w:val="both"/>
      </w:pPr>
    </w:p>
    <w:p w14:paraId="26BBB234" w14:textId="2F797DDE" w:rsidR="00D24A08" w:rsidRDefault="00D24A08" w:rsidP="00F37761">
      <w:pPr>
        <w:pStyle w:val="Sinespaciado"/>
        <w:spacing w:line="360" w:lineRule="auto"/>
        <w:jc w:val="both"/>
      </w:pPr>
      <w:r>
        <w:t>Se evaluó a los demandantes de manera separada y se corrobor</w:t>
      </w:r>
      <w:r w:rsidR="00CA74A3">
        <w:t xml:space="preserve">ó </w:t>
      </w:r>
      <w:r>
        <w:t>la información brindada por ambos</w:t>
      </w:r>
      <w:r w:rsidR="000C22C1">
        <w:t xml:space="preserve">. </w:t>
      </w:r>
      <w:r w:rsidR="00CA74A3">
        <w:t>L</w:t>
      </w:r>
      <w:r>
        <w:t xml:space="preserve">a señora Sandra, tiene una personalidad introvertida. Antes del deceso de la menor había </w:t>
      </w:r>
      <w:r>
        <w:lastRenderedPageBreak/>
        <w:t xml:space="preserve">más disfrute del círculo social. </w:t>
      </w:r>
      <w:r w:rsidRPr="000C22C1">
        <w:t>Sintomatología depresiva y trastorno de estrés post-traumatico y dificultad para conciliar el sueño</w:t>
      </w:r>
      <w:r>
        <w:t>. Sin embargo, tiene factores protectores, como su pareja y su hija. Pero hay una enfermedad latente que en caso de tener que cursar un nuevo duelo</w:t>
      </w:r>
      <w:r w:rsidR="000C22C1">
        <w:t>.</w:t>
      </w:r>
      <w:r w:rsidR="00C26C68">
        <w:t xml:space="preserve"> </w:t>
      </w:r>
      <w:r>
        <w:t>No aparece el diagnostico de depresión y de estrés post-traumatico, porque los síntomas no son suficientes.</w:t>
      </w:r>
    </w:p>
    <w:p w14:paraId="132763C1" w14:textId="77777777" w:rsidR="000C22C1" w:rsidRDefault="000C22C1" w:rsidP="00F37761">
      <w:pPr>
        <w:pStyle w:val="Sinespaciado"/>
        <w:spacing w:line="360" w:lineRule="auto"/>
        <w:jc w:val="both"/>
      </w:pPr>
    </w:p>
    <w:p w14:paraId="09B02C44" w14:textId="096BCCDA" w:rsidR="00D24A08" w:rsidRDefault="00D24A08" w:rsidP="00F37761">
      <w:pPr>
        <w:pStyle w:val="Sinespaciado"/>
        <w:spacing w:line="360" w:lineRule="auto"/>
        <w:jc w:val="both"/>
      </w:pPr>
      <w:r>
        <w:t>El señor Carlos es más extrovertido, tiene el mismo trastorno de insomnio debido al evento y el estado de alert</w:t>
      </w:r>
      <w:r w:rsidR="00C26C68">
        <w:t>a</w:t>
      </w:r>
      <w:r>
        <w:t>. Ambos presentan ese estado de preocupación por su hija. Se incomoda cuando debe hablar de María Paz. No tiene la idea de duelo y dolor persistente que tiene Sandra. Maneja mejor la reacción</w:t>
      </w:r>
      <w:r w:rsidR="000C22C1">
        <w:t>.</w:t>
      </w:r>
    </w:p>
    <w:p w14:paraId="5D93594A" w14:textId="77777777" w:rsidR="000C22C1" w:rsidRDefault="000C22C1" w:rsidP="00F37761">
      <w:pPr>
        <w:pStyle w:val="Sinespaciado"/>
        <w:spacing w:line="360" w:lineRule="auto"/>
        <w:jc w:val="both"/>
      </w:pPr>
    </w:p>
    <w:p w14:paraId="469EE918" w14:textId="77777777" w:rsidR="00D24A08" w:rsidRDefault="00D24A08" w:rsidP="00F37761">
      <w:pPr>
        <w:pStyle w:val="Sinespaciado"/>
        <w:spacing w:line="360" w:lineRule="auto"/>
        <w:jc w:val="both"/>
      </w:pPr>
      <w:r>
        <w:t>Si bien existe la sintomatología, esta se encuentra dirigida hacia el fallecimiento de la menor, es un duelo persistente que no es lo mismo que el trastorno depresivo. Su sintomatología no se encuentra dirigida a todo su entorno.</w:t>
      </w:r>
    </w:p>
    <w:p w14:paraId="3AD10429" w14:textId="77777777" w:rsidR="000C22C1" w:rsidRDefault="000C22C1" w:rsidP="00F37761">
      <w:pPr>
        <w:pStyle w:val="Sinespaciado"/>
        <w:spacing w:line="360" w:lineRule="auto"/>
        <w:jc w:val="both"/>
        <w:rPr>
          <w:b/>
          <w:bCs/>
        </w:rPr>
      </w:pPr>
    </w:p>
    <w:p w14:paraId="7F21BFFA" w14:textId="40C6ED10" w:rsidR="00D24A08" w:rsidRDefault="00D24A08" w:rsidP="00F37761">
      <w:pPr>
        <w:pStyle w:val="Sinespaciado"/>
        <w:spacing w:line="360" w:lineRule="auto"/>
        <w:jc w:val="both"/>
      </w:pPr>
      <w:r>
        <w:t xml:space="preserve">Es una idea que </w:t>
      </w:r>
      <w:r w:rsidR="00AE320C">
        <w:t>está</w:t>
      </w:r>
      <w:r>
        <w:t xml:space="preserve"> muy instaurada, por lo que debe asistir a terapia. Existen escenarios o fechas especiales que hacen que ella tenga una sintomatología cíclica.</w:t>
      </w:r>
    </w:p>
    <w:p w14:paraId="39978D37" w14:textId="77777777" w:rsidR="000C22C1" w:rsidRDefault="000C22C1" w:rsidP="00D24A08">
      <w:pPr>
        <w:pStyle w:val="Sinespaciado"/>
        <w:spacing w:line="360" w:lineRule="auto"/>
        <w:ind w:left="360"/>
        <w:jc w:val="both"/>
      </w:pPr>
    </w:p>
    <w:p w14:paraId="59EC4107" w14:textId="4AA0EBC0" w:rsidR="00F37761" w:rsidRPr="00F37761" w:rsidRDefault="00F37761" w:rsidP="00F37761">
      <w:pPr>
        <w:pStyle w:val="Sinespaciado"/>
        <w:numPr>
          <w:ilvl w:val="0"/>
          <w:numId w:val="9"/>
        </w:numPr>
        <w:spacing w:line="360" w:lineRule="auto"/>
        <w:jc w:val="both"/>
        <w:rPr>
          <w:b/>
          <w:bCs/>
        </w:rPr>
      </w:pPr>
      <w:r w:rsidRPr="00F37761">
        <w:rPr>
          <w:b/>
          <w:bCs/>
        </w:rPr>
        <w:t>TESTIMONIOS</w:t>
      </w:r>
    </w:p>
    <w:p w14:paraId="578784F4" w14:textId="77777777" w:rsidR="00F37761" w:rsidRDefault="00F37761" w:rsidP="00F37761">
      <w:pPr>
        <w:pStyle w:val="Sinespaciado"/>
        <w:spacing w:line="360" w:lineRule="auto"/>
        <w:jc w:val="both"/>
      </w:pPr>
    </w:p>
    <w:p w14:paraId="05047590" w14:textId="77777777" w:rsidR="00F37761" w:rsidRPr="00F37761" w:rsidRDefault="00F37761" w:rsidP="00F37761">
      <w:pPr>
        <w:pStyle w:val="Sinespaciado"/>
        <w:spacing w:line="360" w:lineRule="auto"/>
        <w:jc w:val="both"/>
        <w:rPr>
          <w:b/>
          <w:bCs/>
          <w:u w:val="single"/>
        </w:rPr>
      </w:pPr>
      <w:r w:rsidRPr="00F37761">
        <w:rPr>
          <w:b/>
          <w:bCs/>
          <w:u w:val="single"/>
        </w:rPr>
        <w:t xml:space="preserve">GIRLESA RUIZ </w:t>
      </w:r>
    </w:p>
    <w:p w14:paraId="6D4FF0C9" w14:textId="77777777" w:rsidR="00F37761" w:rsidRDefault="00F37761" w:rsidP="00F37761">
      <w:pPr>
        <w:pStyle w:val="Sinespaciado"/>
        <w:spacing w:line="360" w:lineRule="auto"/>
        <w:jc w:val="both"/>
      </w:pPr>
    </w:p>
    <w:p w14:paraId="171EBE87" w14:textId="008CD4F3" w:rsidR="00F37761" w:rsidRDefault="00F37761" w:rsidP="00F37761">
      <w:pPr>
        <w:pStyle w:val="Sinespaciado"/>
        <w:spacing w:line="360" w:lineRule="auto"/>
        <w:jc w:val="both"/>
      </w:pPr>
      <w:r>
        <w:t>Neonatóloga. Medica general desde el 2005. Pediatra desde el 2013. Neonatóloga desde el 2016. Se form</w:t>
      </w:r>
      <w:r w:rsidR="00AE320C">
        <w:t>ó</w:t>
      </w:r>
      <w:r>
        <w:t xml:space="preserve"> y trabaj</w:t>
      </w:r>
      <w:r w:rsidR="00AE320C">
        <w:t>ó</w:t>
      </w:r>
      <w:r>
        <w:t xml:space="preserve"> hasta el 2019 en el Hospital Infantil Universitario San José. Tuvo contrato con Critical UCI Group hasta el 2018. </w:t>
      </w:r>
    </w:p>
    <w:p w14:paraId="455BF156" w14:textId="77777777" w:rsidR="00F37761" w:rsidRDefault="00F37761" w:rsidP="00F37761">
      <w:pPr>
        <w:pStyle w:val="Sinespaciado"/>
        <w:spacing w:line="360" w:lineRule="auto"/>
        <w:jc w:val="both"/>
      </w:pPr>
    </w:p>
    <w:p w14:paraId="117FF0C7" w14:textId="1EBD669B" w:rsidR="00F37761" w:rsidRDefault="00F37761" w:rsidP="00F37761">
      <w:pPr>
        <w:pStyle w:val="Sinespaciado"/>
        <w:spacing w:line="360" w:lineRule="auto"/>
        <w:jc w:val="both"/>
      </w:pPr>
      <w:r>
        <w:t xml:space="preserve">La paciente se trata de una menor con </w:t>
      </w:r>
      <w:r w:rsidRPr="007908A4">
        <w:t>síndrome de Pierre Roban</w:t>
      </w:r>
      <w:r>
        <w:t xml:space="preserve">, que fue remitida desde la Clínica Santa Fe. Se le realiza el procedimiento sin complicaciones. Una vez en UCI la paciente presenta un paro cardiorrespiratorio, que se atiende debidamente y se efectúa la reanimación, posteriormente </w:t>
      </w:r>
      <w:r>
        <w:lastRenderedPageBreak/>
        <w:t>presenta un episodio de hipoxemia y muerte cerebral.</w:t>
      </w:r>
    </w:p>
    <w:p w14:paraId="5CFEC47A" w14:textId="77777777" w:rsidR="00F37761" w:rsidRDefault="00F37761" w:rsidP="00F37761">
      <w:pPr>
        <w:pStyle w:val="Sinespaciado"/>
        <w:spacing w:line="360" w:lineRule="auto"/>
        <w:jc w:val="both"/>
      </w:pPr>
    </w:p>
    <w:p w14:paraId="094C0BC5" w14:textId="3A6B3879" w:rsidR="00F37761" w:rsidRDefault="00F37761" w:rsidP="00F37761">
      <w:pPr>
        <w:pStyle w:val="Sinespaciado"/>
        <w:spacing w:line="360" w:lineRule="auto"/>
        <w:jc w:val="both"/>
      </w:pPr>
      <w:r>
        <w:t xml:space="preserve">Atendió a la paciente. Esta presentaba una patología de base que era el paladar hendido y adicionalmente unas </w:t>
      </w:r>
      <w:r w:rsidRPr="00C81200">
        <w:t>comorbilidades, como proceso infeccioso</w:t>
      </w:r>
      <w:r w:rsidRPr="007908A4">
        <w:t>, trastorno de deglución, neumonía aspirativa y desnutrición.</w:t>
      </w:r>
      <w:r>
        <w:t xml:space="preserve"> Cuando falleció ya se encontraba en una falla orgánica múltiple. Sus comorbilidades confluyeron en su desenlace fatal, pues consistía en trastornos genéticos. No advierte fallas en la atención brindada.</w:t>
      </w:r>
    </w:p>
    <w:p w14:paraId="6AF39705" w14:textId="77777777" w:rsidR="00F37761" w:rsidRDefault="00F37761" w:rsidP="00F37761">
      <w:pPr>
        <w:pStyle w:val="Sinespaciado"/>
        <w:spacing w:line="360" w:lineRule="auto"/>
        <w:jc w:val="both"/>
      </w:pPr>
    </w:p>
    <w:p w14:paraId="456C4022" w14:textId="05F57678" w:rsidR="00F37761" w:rsidRPr="00E11C35" w:rsidRDefault="00F37761" w:rsidP="00F37761">
      <w:pPr>
        <w:pStyle w:val="Sinespaciado"/>
        <w:spacing w:line="360" w:lineRule="auto"/>
        <w:jc w:val="both"/>
      </w:pPr>
      <w:r>
        <w:t xml:space="preserve">Las maniobras de reanimación se presentan una vez la paciente </w:t>
      </w:r>
      <w:r w:rsidR="007F664C">
        <w:t>cursa</w:t>
      </w:r>
      <w:r>
        <w:t xml:space="preserve"> el paro cardiorrespiratorio, es decir que el profesional que la atendió si se encontraba en presencia de la menor cuando sucedió.</w:t>
      </w:r>
    </w:p>
    <w:p w14:paraId="64E541B3" w14:textId="77777777" w:rsidR="00F37761" w:rsidRDefault="00F37761" w:rsidP="00F37761">
      <w:pPr>
        <w:pStyle w:val="Sinespaciado"/>
        <w:spacing w:line="360" w:lineRule="auto"/>
        <w:jc w:val="both"/>
      </w:pPr>
      <w:r>
        <w:t xml:space="preserve"> </w:t>
      </w:r>
    </w:p>
    <w:p w14:paraId="4A1658B4" w14:textId="77777777" w:rsidR="00F37761" w:rsidRPr="00F37761" w:rsidRDefault="00F37761" w:rsidP="00F37761">
      <w:pPr>
        <w:pStyle w:val="Sinespaciado"/>
        <w:spacing w:line="360" w:lineRule="auto"/>
        <w:jc w:val="both"/>
        <w:rPr>
          <w:b/>
          <w:bCs/>
          <w:u w:val="single"/>
        </w:rPr>
      </w:pPr>
      <w:r w:rsidRPr="00F37761">
        <w:rPr>
          <w:b/>
          <w:bCs/>
          <w:u w:val="single"/>
        </w:rPr>
        <w:t>HECTOR ROMERO</w:t>
      </w:r>
    </w:p>
    <w:p w14:paraId="5C39B1AB" w14:textId="77777777" w:rsidR="00F37761" w:rsidRDefault="00F37761" w:rsidP="00F37761">
      <w:pPr>
        <w:pStyle w:val="Sinespaciado"/>
        <w:spacing w:line="360" w:lineRule="auto"/>
        <w:jc w:val="both"/>
      </w:pPr>
    </w:p>
    <w:p w14:paraId="5655C1B6" w14:textId="66FEE8E6" w:rsidR="00F37761" w:rsidRDefault="00F37761" w:rsidP="00F37761">
      <w:pPr>
        <w:pStyle w:val="Sinespaciado"/>
        <w:spacing w:line="360" w:lineRule="auto"/>
        <w:jc w:val="both"/>
      </w:pPr>
      <w:r>
        <w:t xml:space="preserve">Médico pediatra neonatólogo. Actualmente trabaja en el Hospital Infantil Universitario San José. Critical UCI Group es el que maneja la unidad de cuidados intensivos. Tiene 4 años de vinculación y no estaba laborando en el Hospital para la fecha de los hechos. </w:t>
      </w:r>
    </w:p>
    <w:p w14:paraId="41C692C0" w14:textId="77777777" w:rsidR="00F37761" w:rsidRDefault="00F37761" w:rsidP="00F37761">
      <w:pPr>
        <w:pStyle w:val="Sinespaciado"/>
        <w:spacing w:line="360" w:lineRule="auto"/>
        <w:jc w:val="both"/>
      </w:pPr>
    </w:p>
    <w:p w14:paraId="32F55888" w14:textId="2C61DF77" w:rsidR="00F37761" w:rsidRDefault="00F37761" w:rsidP="00F37761">
      <w:pPr>
        <w:pStyle w:val="Sinespaciado"/>
        <w:spacing w:line="360" w:lineRule="auto"/>
        <w:jc w:val="both"/>
      </w:pPr>
      <w:r>
        <w:t>Dada la advertencia de la ausencia de participación del galeno en la atención de la menor, se desiste del testimonio.</w:t>
      </w:r>
    </w:p>
    <w:p w14:paraId="09522516" w14:textId="77777777" w:rsidR="00F37761" w:rsidRDefault="00F37761" w:rsidP="00F37761">
      <w:pPr>
        <w:pStyle w:val="Sinespaciado"/>
        <w:spacing w:line="360" w:lineRule="auto"/>
        <w:jc w:val="both"/>
      </w:pPr>
    </w:p>
    <w:p w14:paraId="2F658201" w14:textId="77777777" w:rsidR="00F37761" w:rsidRPr="00F37761" w:rsidRDefault="00F37761" w:rsidP="00F37761">
      <w:pPr>
        <w:pStyle w:val="Sinespaciado"/>
        <w:spacing w:line="360" w:lineRule="auto"/>
        <w:jc w:val="both"/>
        <w:rPr>
          <w:b/>
          <w:bCs/>
          <w:u w:val="single"/>
        </w:rPr>
      </w:pPr>
      <w:r w:rsidRPr="00F37761">
        <w:rPr>
          <w:b/>
          <w:bCs/>
          <w:u w:val="single"/>
        </w:rPr>
        <w:t>MARIA MERCEDES PÚLIDO</w:t>
      </w:r>
    </w:p>
    <w:p w14:paraId="52C2C0B5" w14:textId="77777777" w:rsidR="00F37761" w:rsidRDefault="00F37761" w:rsidP="00F37761">
      <w:pPr>
        <w:pStyle w:val="Sinespaciado"/>
        <w:spacing w:line="360" w:lineRule="auto"/>
        <w:jc w:val="both"/>
      </w:pPr>
    </w:p>
    <w:p w14:paraId="64391F00" w14:textId="79F8A444" w:rsidR="00F37761" w:rsidRDefault="00F37761" w:rsidP="00F37761">
      <w:pPr>
        <w:pStyle w:val="Sinespaciado"/>
        <w:spacing w:line="360" w:lineRule="auto"/>
        <w:jc w:val="both"/>
      </w:pPr>
      <w:r>
        <w:t>Neonatóloga. Trabaja para Critical UCI Group desde el 2010.</w:t>
      </w:r>
    </w:p>
    <w:p w14:paraId="6DD42505" w14:textId="77777777" w:rsidR="00F37761" w:rsidRDefault="00F37761" w:rsidP="00F37761">
      <w:pPr>
        <w:pStyle w:val="Sinespaciado"/>
        <w:spacing w:line="360" w:lineRule="auto"/>
        <w:jc w:val="both"/>
      </w:pPr>
    </w:p>
    <w:p w14:paraId="7E673D81" w14:textId="6FAD9BB7" w:rsidR="00F37761" w:rsidRDefault="00F37761" w:rsidP="00F37761">
      <w:pPr>
        <w:pStyle w:val="Sinespaciado"/>
        <w:spacing w:line="360" w:lineRule="auto"/>
        <w:jc w:val="both"/>
      </w:pPr>
      <w:r>
        <w:t>María Paz fue una menor que ingresó con un diagnóstico de secuencia de Pierre Roban, que compromete la vía aérea por obstrucción de la lengua. Fue parte de los pediatras tratantes de la unidad y vio a la paciente al día siguiente al evento.</w:t>
      </w:r>
    </w:p>
    <w:p w14:paraId="778246FE" w14:textId="77777777" w:rsidR="00F37761" w:rsidRDefault="00F37761" w:rsidP="00F37761">
      <w:pPr>
        <w:pStyle w:val="Sinespaciado"/>
        <w:spacing w:line="360" w:lineRule="auto"/>
        <w:jc w:val="both"/>
      </w:pPr>
    </w:p>
    <w:p w14:paraId="59AF7D64" w14:textId="6872A552" w:rsidR="00F37761" w:rsidRDefault="00F37761" w:rsidP="00F37761">
      <w:pPr>
        <w:pStyle w:val="Sinespaciado"/>
        <w:spacing w:line="360" w:lineRule="auto"/>
        <w:jc w:val="both"/>
      </w:pPr>
      <w:r>
        <w:t>El diagnostico requería intervención por las complicaciones, se trataba de un problema congénito de alto riesgo. La paciente se encontraba en el post</w:t>
      </w:r>
      <w:r w:rsidR="0070781B">
        <w:t>-</w:t>
      </w:r>
      <w:r>
        <w:t xml:space="preserve">operatorio bajo monitoreo cuando presentó el paro cardiorrespiratorio y la reanimación cumplió con el protocolo médico. </w:t>
      </w:r>
    </w:p>
    <w:p w14:paraId="4C4833FC" w14:textId="77777777" w:rsidR="00F37761" w:rsidRDefault="00F37761" w:rsidP="00F37761">
      <w:pPr>
        <w:pStyle w:val="Sinespaciado"/>
        <w:spacing w:line="360" w:lineRule="auto"/>
        <w:jc w:val="both"/>
      </w:pPr>
    </w:p>
    <w:p w14:paraId="3C6A4529" w14:textId="735716D8" w:rsidR="00F37761" w:rsidRDefault="00845711" w:rsidP="00F37761">
      <w:pPr>
        <w:pStyle w:val="Sinespaciado"/>
        <w:spacing w:line="360" w:lineRule="auto"/>
        <w:jc w:val="both"/>
      </w:pPr>
      <w:r>
        <w:t>Cuando la ve después del evento, l</w:t>
      </w:r>
      <w:r w:rsidR="00F37761">
        <w:t>a encuentra hemodinámicamente estable y con soporte de ventilatorio, pero en estado crítico. Las enfermedades de base de la menor tuvieron incidencia en el evento presentado.</w:t>
      </w:r>
    </w:p>
    <w:p w14:paraId="3D7D2EA6" w14:textId="77777777" w:rsidR="00F37761" w:rsidRDefault="00F37761" w:rsidP="00F37761">
      <w:pPr>
        <w:pStyle w:val="Sinespaciado"/>
        <w:spacing w:line="360" w:lineRule="auto"/>
        <w:jc w:val="both"/>
      </w:pPr>
    </w:p>
    <w:p w14:paraId="53EC1BF2" w14:textId="77777777" w:rsidR="00F37761" w:rsidRDefault="00F37761" w:rsidP="00F37761">
      <w:pPr>
        <w:pStyle w:val="Sinespaciado"/>
        <w:spacing w:line="360" w:lineRule="auto"/>
        <w:jc w:val="both"/>
      </w:pPr>
      <w:r>
        <w:t>La patología de base, desde un punto de vista anatómico se trata de un patología con tendencia al deterioro y se tiene el riesgo de falla ventilatoria pues confieren una vía aérea difícil. Aunado, padecía una crisis de neumonía aspirativa. No advierte fallas en la atención.</w:t>
      </w:r>
    </w:p>
    <w:p w14:paraId="08DFF9AC" w14:textId="77777777" w:rsidR="00F37761" w:rsidRDefault="00F37761" w:rsidP="00D24A08">
      <w:pPr>
        <w:pStyle w:val="Sinespaciado"/>
        <w:spacing w:line="360" w:lineRule="auto"/>
        <w:ind w:left="360"/>
        <w:jc w:val="both"/>
      </w:pPr>
    </w:p>
    <w:p w14:paraId="53C5F42A" w14:textId="2EAFFCCB" w:rsidR="00C6073D" w:rsidRPr="00C6073D" w:rsidRDefault="00C6073D" w:rsidP="00C6073D">
      <w:pPr>
        <w:pStyle w:val="Sinespaciado"/>
        <w:numPr>
          <w:ilvl w:val="0"/>
          <w:numId w:val="5"/>
        </w:numPr>
        <w:spacing w:line="360" w:lineRule="auto"/>
        <w:jc w:val="center"/>
        <w:rPr>
          <w:rFonts w:ascii="Arial" w:hAnsi="Arial" w:cs="Arial"/>
          <w:b/>
          <w:bCs/>
        </w:rPr>
      </w:pPr>
      <w:r w:rsidRPr="00C6073D">
        <w:rPr>
          <w:rFonts w:ascii="Arial" w:hAnsi="Arial" w:cs="Arial"/>
          <w:b/>
          <w:bCs/>
        </w:rPr>
        <w:t>ALEGATOS DE CONCLUSIÓN</w:t>
      </w:r>
    </w:p>
    <w:p w14:paraId="6C34D4C9" w14:textId="77777777" w:rsidR="00C6073D" w:rsidRDefault="00C6073D" w:rsidP="00C6073D">
      <w:pPr>
        <w:pStyle w:val="Sinespaciado"/>
        <w:spacing w:line="360" w:lineRule="auto"/>
        <w:jc w:val="both"/>
        <w:rPr>
          <w:rFonts w:ascii="Arial" w:hAnsi="Arial" w:cs="Arial"/>
        </w:rPr>
      </w:pPr>
    </w:p>
    <w:p w14:paraId="6875611C" w14:textId="00300EDB" w:rsidR="001E7FFA" w:rsidRPr="00C6073D" w:rsidRDefault="00C6073D" w:rsidP="002B0EDB">
      <w:pPr>
        <w:pStyle w:val="Sinespaciado"/>
        <w:spacing w:line="360" w:lineRule="auto"/>
        <w:jc w:val="both"/>
        <w:rPr>
          <w:rFonts w:ascii="Arial" w:hAnsi="Arial" w:cs="Arial"/>
        </w:rPr>
      </w:pPr>
      <w:r>
        <w:rPr>
          <w:rFonts w:ascii="Arial" w:hAnsi="Arial" w:cs="Arial"/>
        </w:rPr>
        <w:t xml:space="preserve">Una vez terminada la etapa de practica de pruebas, se da apertura a la de alegatos de conclusión. </w:t>
      </w:r>
    </w:p>
    <w:p w14:paraId="6FA1CC30" w14:textId="385018E1" w:rsidR="001523E4" w:rsidRDefault="001523E4" w:rsidP="00127061">
      <w:pPr>
        <w:pStyle w:val="Sinespaciado"/>
        <w:spacing w:line="360" w:lineRule="auto"/>
        <w:jc w:val="both"/>
        <w:rPr>
          <w:b/>
          <w:bCs/>
          <w:u w:val="single"/>
        </w:rPr>
      </w:pPr>
    </w:p>
    <w:p w14:paraId="23DE3392" w14:textId="78303207" w:rsidR="00BC73E0" w:rsidRDefault="00BC73E0" w:rsidP="00BC73E0">
      <w:pPr>
        <w:pStyle w:val="Sinespaciado"/>
        <w:numPr>
          <w:ilvl w:val="0"/>
          <w:numId w:val="5"/>
        </w:numPr>
        <w:spacing w:line="360" w:lineRule="auto"/>
        <w:jc w:val="center"/>
        <w:rPr>
          <w:b/>
          <w:bCs/>
        </w:rPr>
      </w:pPr>
      <w:r>
        <w:rPr>
          <w:b/>
          <w:bCs/>
        </w:rPr>
        <w:t>SENTENCIA</w:t>
      </w:r>
    </w:p>
    <w:p w14:paraId="435BDB39" w14:textId="77777777" w:rsidR="00BC73E0" w:rsidRDefault="00BC73E0" w:rsidP="00BC73E0">
      <w:pPr>
        <w:pStyle w:val="Sinespaciado"/>
        <w:spacing w:line="360" w:lineRule="auto"/>
        <w:rPr>
          <w:b/>
          <w:bCs/>
        </w:rPr>
      </w:pPr>
    </w:p>
    <w:p w14:paraId="3A1C760C" w14:textId="3C79C997" w:rsidR="00BC73E0" w:rsidRPr="00BC73E0" w:rsidRDefault="00F34F55" w:rsidP="00F37761">
      <w:pPr>
        <w:pStyle w:val="Sinespaciado"/>
        <w:spacing w:line="360" w:lineRule="auto"/>
        <w:jc w:val="both"/>
        <w:rPr>
          <w:b/>
          <w:bCs/>
        </w:rPr>
      </w:pPr>
      <w:r>
        <w:rPr>
          <w:rFonts w:ascii="Arial" w:hAnsi="Arial" w:cs="Arial"/>
        </w:rPr>
        <w:t>La misma será publicada por estados dentro de los 10 días siguientes a la celebración de la diligencia.</w:t>
      </w:r>
      <w:r w:rsidR="00F37761">
        <w:rPr>
          <w:rFonts w:ascii="Arial" w:hAnsi="Arial" w:cs="Arial"/>
        </w:rPr>
        <w:t xml:space="preserve"> No obstante, se da lectura al sentido del fallo</w:t>
      </w:r>
      <w:r w:rsidR="00986B0E">
        <w:rPr>
          <w:rFonts w:ascii="Arial" w:hAnsi="Arial" w:cs="Arial"/>
        </w:rPr>
        <w:t xml:space="preserve"> en donde se </w:t>
      </w:r>
      <w:r w:rsidR="00986B0E" w:rsidRPr="00986B0E">
        <w:rPr>
          <w:rFonts w:ascii="Arial" w:hAnsi="Arial" w:cs="Arial"/>
        </w:rPr>
        <w:t xml:space="preserve">desestiman las pretensiones de la demanda, </w:t>
      </w:r>
      <w:r w:rsidR="00986B0E">
        <w:rPr>
          <w:rFonts w:ascii="Arial" w:hAnsi="Arial" w:cs="Arial"/>
        </w:rPr>
        <w:t xml:space="preserve">en tanto </w:t>
      </w:r>
      <w:r w:rsidR="00986B0E" w:rsidRPr="00986B0E">
        <w:rPr>
          <w:rFonts w:ascii="Arial" w:hAnsi="Arial" w:cs="Arial"/>
        </w:rPr>
        <w:t>no qued</w:t>
      </w:r>
      <w:r w:rsidR="007B1261">
        <w:rPr>
          <w:rFonts w:ascii="Arial" w:hAnsi="Arial" w:cs="Arial"/>
        </w:rPr>
        <w:t>ó</w:t>
      </w:r>
      <w:r w:rsidR="00986B0E" w:rsidRPr="00986B0E">
        <w:rPr>
          <w:rFonts w:ascii="Arial" w:hAnsi="Arial" w:cs="Arial"/>
        </w:rPr>
        <w:t xml:space="preserve"> probado que el personal médico incurriera en negligencia o impericia frente a la atención de la paciente.</w:t>
      </w:r>
    </w:p>
    <w:sectPr w:rsidR="00BC73E0" w:rsidRPr="00BC73E0" w:rsidSect="004B603A">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DAB99" w14:textId="77777777" w:rsidR="004B603A" w:rsidRDefault="004B603A" w:rsidP="0025591F">
      <w:r>
        <w:separator/>
      </w:r>
    </w:p>
  </w:endnote>
  <w:endnote w:type="continuationSeparator" w:id="0">
    <w:p w14:paraId="0C6BB946" w14:textId="77777777" w:rsidR="004B603A" w:rsidRDefault="004B603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2163E" w14:textId="77777777" w:rsidR="004B603A" w:rsidRDefault="004B603A" w:rsidP="0025591F">
      <w:r>
        <w:separator/>
      </w:r>
    </w:p>
  </w:footnote>
  <w:footnote w:type="continuationSeparator" w:id="0">
    <w:p w14:paraId="5907FB75" w14:textId="77777777" w:rsidR="004B603A" w:rsidRDefault="004B603A"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734754"/>
    <w:multiLevelType w:val="hybridMultilevel"/>
    <w:tmpl w:val="150CE30E"/>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AE42046"/>
    <w:multiLevelType w:val="hybridMultilevel"/>
    <w:tmpl w:val="150CE30E"/>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1"/>
  </w:num>
  <w:num w:numId="5" w16cid:durableId="1029259050">
    <w:abstractNumId w:val="8"/>
  </w:num>
  <w:num w:numId="6" w16cid:durableId="2135712675">
    <w:abstractNumId w:val="9"/>
  </w:num>
  <w:num w:numId="7" w16cid:durableId="1152868072">
    <w:abstractNumId w:val="2"/>
  </w:num>
  <w:num w:numId="8" w16cid:durableId="920064313">
    <w:abstractNumId w:val="5"/>
  </w:num>
  <w:num w:numId="9" w16cid:durableId="662901647">
    <w:abstractNumId w:val="4"/>
  </w:num>
  <w:num w:numId="10" w16cid:durableId="1451050701">
    <w:abstractNumId w:val="3"/>
  </w:num>
  <w:num w:numId="11" w16cid:durableId="525289733">
    <w:abstractNumId w:val="10"/>
  </w:num>
  <w:num w:numId="12" w16cid:durableId="1619797726">
    <w:abstractNumId w:val="6"/>
  </w:num>
  <w:num w:numId="13" w16cid:durableId="301545083">
    <w:abstractNumId w:val="1"/>
  </w:num>
  <w:num w:numId="14" w16cid:durableId="54298158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3F6F"/>
    <w:rsid w:val="000343C9"/>
    <w:rsid w:val="00040C6E"/>
    <w:rsid w:val="000443A9"/>
    <w:rsid w:val="0004759B"/>
    <w:rsid w:val="00057FF3"/>
    <w:rsid w:val="00061F81"/>
    <w:rsid w:val="0006238F"/>
    <w:rsid w:val="00064D03"/>
    <w:rsid w:val="00073C6E"/>
    <w:rsid w:val="00075615"/>
    <w:rsid w:val="00075624"/>
    <w:rsid w:val="000771F2"/>
    <w:rsid w:val="000849E8"/>
    <w:rsid w:val="00084D79"/>
    <w:rsid w:val="000855BE"/>
    <w:rsid w:val="00090C64"/>
    <w:rsid w:val="00092A03"/>
    <w:rsid w:val="00097A71"/>
    <w:rsid w:val="000A1953"/>
    <w:rsid w:val="000A22B2"/>
    <w:rsid w:val="000B1739"/>
    <w:rsid w:val="000C22C1"/>
    <w:rsid w:val="000C2815"/>
    <w:rsid w:val="000D0FB7"/>
    <w:rsid w:val="000D48B4"/>
    <w:rsid w:val="000F03B2"/>
    <w:rsid w:val="000F2ABF"/>
    <w:rsid w:val="000F5029"/>
    <w:rsid w:val="000F6C16"/>
    <w:rsid w:val="0011173A"/>
    <w:rsid w:val="00114335"/>
    <w:rsid w:val="001145D9"/>
    <w:rsid w:val="00116803"/>
    <w:rsid w:val="00116831"/>
    <w:rsid w:val="00121A40"/>
    <w:rsid w:val="00127061"/>
    <w:rsid w:val="00142916"/>
    <w:rsid w:val="001523E4"/>
    <w:rsid w:val="00154316"/>
    <w:rsid w:val="00155BB8"/>
    <w:rsid w:val="00155C86"/>
    <w:rsid w:val="001564B0"/>
    <w:rsid w:val="0015759D"/>
    <w:rsid w:val="00161488"/>
    <w:rsid w:val="00161556"/>
    <w:rsid w:val="001635C1"/>
    <w:rsid w:val="00171B10"/>
    <w:rsid w:val="00177262"/>
    <w:rsid w:val="001824E3"/>
    <w:rsid w:val="001925A0"/>
    <w:rsid w:val="00194536"/>
    <w:rsid w:val="00194DAC"/>
    <w:rsid w:val="001B0B51"/>
    <w:rsid w:val="001B4457"/>
    <w:rsid w:val="001B4BF9"/>
    <w:rsid w:val="001D36C6"/>
    <w:rsid w:val="001D4537"/>
    <w:rsid w:val="001E3B48"/>
    <w:rsid w:val="001E7FFA"/>
    <w:rsid w:val="001F4B73"/>
    <w:rsid w:val="001F5F28"/>
    <w:rsid w:val="0020265F"/>
    <w:rsid w:val="00206800"/>
    <w:rsid w:val="00220909"/>
    <w:rsid w:val="00221193"/>
    <w:rsid w:val="00222947"/>
    <w:rsid w:val="0022605B"/>
    <w:rsid w:val="00230DCB"/>
    <w:rsid w:val="0023253E"/>
    <w:rsid w:val="002327D8"/>
    <w:rsid w:val="00234F3F"/>
    <w:rsid w:val="002358F8"/>
    <w:rsid w:val="00241924"/>
    <w:rsid w:val="00245F40"/>
    <w:rsid w:val="002518F5"/>
    <w:rsid w:val="00254E27"/>
    <w:rsid w:val="0025591F"/>
    <w:rsid w:val="00255A11"/>
    <w:rsid w:val="002568C0"/>
    <w:rsid w:val="00263310"/>
    <w:rsid w:val="00263695"/>
    <w:rsid w:val="00265B06"/>
    <w:rsid w:val="00267DDC"/>
    <w:rsid w:val="00273814"/>
    <w:rsid w:val="00281D90"/>
    <w:rsid w:val="002858E9"/>
    <w:rsid w:val="00295EDD"/>
    <w:rsid w:val="0029705D"/>
    <w:rsid w:val="002A210A"/>
    <w:rsid w:val="002A2D90"/>
    <w:rsid w:val="002B0EDB"/>
    <w:rsid w:val="002B1F03"/>
    <w:rsid w:val="002B4C38"/>
    <w:rsid w:val="002B5E76"/>
    <w:rsid w:val="002B5F7E"/>
    <w:rsid w:val="002C6A70"/>
    <w:rsid w:val="002C7B5A"/>
    <w:rsid w:val="002D34F9"/>
    <w:rsid w:val="002E4355"/>
    <w:rsid w:val="002E5834"/>
    <w:rsid w:val="002F1340"/>
    <w:rsid w:val="00304AEE"/>
    <w:rsid w:val="00305A71"/>
    <w:rsid w:val="00305C2C"/>
    <w:rsid w:val="00306522"/>
    <w:rsid w:val="00310569"/>
    <w:rsid w:val="00311A69"/>
    <w:rsid w:val="00330193"/>
    <w:rsid w:val="0033036A"/>
    <w:rsid w:val="0034304B"/>
    <w:rsid w:val="00354FF7"/>
    <w:rsid w:val="003642D2"/>
    <w:rsid w:val="003739BE"/>
    <w:rsid w:val="003757E1"/>
    <w:rsid w:val="00375AFE"/>
    <w:rsid w:val="00377825"/>
    <w:rsid w:val="00381CA8"/>
    <w:rsid w:val="00383D35"/>
    <w:rsid w:val="00384714"/>
    <w:rsid w:val="003863B8"/>
    <w:rsid w:val="00386784"/>
    <w:rsid w:val="003B1171"/>
    <w:rsid w:val="003B60E4"/>
    <w:rsid w:val="003C1762"/>
    <w:rsid w:val="003C5BCE"/>
    <w:rsid w:val="003D6A26"/>
    <w:rsid w:val="003E132E"/>
    <w:rsid w:val="003E759A"/>
    <w:rsid w:val="003F26B0"/>
    <w:rsid w:val="003F5E4B"/>
    <w:rsid w:val="004006C4"/>
    <w:rsid w:val="00401649"/>
    <w:rsid w:val="004029D9"/>
    <w:rsid w:val="004032FD"/>
    <w:rsid w:val="00405432"/>
    <w:rsid w:val="00405476"/>
    <w:rsid w:val="00407A14"/>
    <w:rsid w:val="00412306"/>
    <w:rsid w:val="00413BC7"/>
    <w:rsid w:val="00413D82"/>
    <w:rsid w:val="0041547E"/>
    <w:rsid w:val="00416F84"/>
    <w:rsid w:val="0042309A"/>
    <w:rsid w:val="0042497F"/>
    <w:rsid w:val="00430052"/>
    <w:rsid w:val="00432309"/>
    <w:rsid w:val="00437EEF"/>
    <w:rsid w:val="00441AE1"/>
    <w:rsid w:val="00442F76"/>
    <w:rsid w:val="00447B16"/>
    <w:rsid w:val="00453F42"/>
    <w:rsid w:val="0045449D"/>
    <w:rsid w:val="00461721"/>
    <w:rsid w:val="0047009C"/>
    <w:rsid w:val="00470810"/>
    <w:rsid w:val="00473577"/>
    <w:rsid w:val="00475C7C"/>
    <w:rsid w:val="004819D5"/>
    <w:rsid w:val="00486C9E"/>
    <w:rsid w:val="00490181"/>
    <w:rsid w:val="00493795"/>
    <w:rsid w:val="00494D3C"/>
    <w:rsid w:val="004A356B"/>
    <w:rsid w:val="004A7BA2"/>
    <w:rsid w:val="004A7E53"/>
    <w:rsid w:val="004B603A"/>
    <w:rsid w:val="004C01CE"/>
    <w:rsid w:val="004C363A"/>
    <w:rsid w:val="004D171A"/>
    <w:rsid w:val="004E6963"/>
    <w:rsid w:val="004F2BDF"/>
    <w:rsid w:val="00502390"/>
    <w:rsid w:val="00505F3C"/>
    <w:rsid w:val="005077EA"/>
    <w:rsid w:val="0051162C"/>
    <w:rsid w:val="005122EF"/>
    <w:rsid w:val="0051555D"/>
    <w:rsid w:val="00515982"/>
    <w:rsid w:val="00524045"/>
    <w:rsid w:val="00541504"/>
    <w:rsid w:val="00543F6F"/>
    <w:rsid w:val="005455CB"/>
    <w:rsid w:val="00546380"/>
    <w:rsid w:val="00547EF4"/>
    <w:rsid w:val="00552EE6"/>
    <w:rsid w:val="00554576"/>
    <w:rsid w:val="0056057E"/>
    <w:rsid w:val="00572542"/>
    <w:rsid w:val="00572B55"/>
    <w:rsid w:val="00574CBB"/>
    <w:rsid w:val="00581816"/>
    <w:rsid w:val="00583158"/>
    <w:rsid w:val="0058414D"/>
    <w:rsid w:val="0059597F"/>
    <w:rsid w:val="005A156F"/>
    <w:rsid w:val="005A3BD9"/>
    <w:rsid w:val="005A3F2C"/>
    <w:rsid w:val="005A431E"/>
    <w:rsid w:val="005B69ED"/>
    <w:rsid w:val="005C402B"/>
    <w:rsid w:val="005C4D9D"/>
    <w:rsid w:val="005D7117"/>
    <w:rsid w:val="005E30DC"/>
    <w:rsid w:val="005E3CC9"/>
    <w:rsid w:val="005E3FA5"/>
    <w:rsid w:val="005E4B9E"/>
    <w:rsid w:val="005E6D5F"/>
    <w:rsid w:val="005F3807"/>
    <w:rsid w:val="005F5469"/>
    <w:rsid w:val="00604289"/>
    <w:rsid w:val="006173D0"/>
    <w:rsid w:val="00633F8C"/>
    <w:rsid w:val="006362A0"/>
    <w:rsid w:val="00637020"/>
    <w:rsid w:val="0064580A"/>
    <w:rsid w:val="00647397"/>
    <w:rsid w:val="0065276C"/>
    <w:rsid w:val="006538D6"/>
    <w:rsid w:val="006544BF"/>
    <w:rsid w:val="00654FCF"/>
    <w:rsid w:val="00660832"/>
    <w:rsid w:val="006619E8"/>
    <w:rsid w:val="00661E56"/>
    <w:rsid w:val="0066266F"/>
    <w:rsid w:val="006671B1"/>
    <w:rsid w:val="006710F0"/>
    <w:rsid w:val="00672252"/>
    <w:rsid w:val="00673CD6"/>
    <w:rsid w:val="00682AA2"/>
    <w:rsid w:val="006923AE"/>
    <w:rsid w:val="006934AD"/>
    <w:rsid w:val="006947C8"/>
    <w:rsid w:val="006A0A8C"/>
    <w:rsid w:val="006A1C11"/>
    <w:rsid w:val="006A5BF8"/>
    <w:rsid w:val="006A6236"/>
    <w:rsid w:val="006B07B8"/>
    <w:rsid w:val="006B6DDA"/>
    <w:rsid w:val="006D0700"/>
    <w:rsid w:val="006D2BC1"/>
    <w:rsid w:val="006E0EA6"/>
    <w:rsid w:val="006F078F"/>
    <w:rsid w:val="006F18EA"/>
    <w:rsid w:val="006F366D"/>
    <w:rsid w:val="006F3F7B"/>
    <w:rsid w:val="00701336"/>
    <w:rsid w:val="00705286"/>
    <w:rsid w:val="0070781B"/>
    <w:rsid w:val="00730B86"/>
    <w:rsid w:val="0074054E"/>
    <w:rsid w:val="00754D45"/>
    <w:rsid w:val="00791D9C"/>
    <w:rsid w:val="00793C8E"/>
    <w:rsid w:val="007A08F5"/>
    <w:rsid w:val="007A6591"/>
    <w:rsid w:val="007B1261"/>
    <w:rsid w:val="007C1A65"/>
    <w:rsid w:val="007C3410"/>
    <w:rsid w:val="007D1808"/>
    <w:rsid w:val="007E0AE5"/>
    <w:rsid w:val="007E3127"/>
    <w:rsid w:val="007E3451"/>
    <w:rsid w:val="007E76E0"/>
    <w:rsid w:val="007F1A71"/>
    <w:rsid w:val="007F632D"/>
    <w:rsid w:val="007F664C"/>
    <w:rsid w:val="007F674B"/>
    <w:rsid w:val="007F6A39"/>
    <w:rsid w:val="00802DAE"/>
    <w:rsid w:val="00805A37"/>
    <w:rsid w:val="00823A98"/>
    <w:rsid w:val="00826CA0"/>
    <w:rsid w:val="00845711"/>
    <w:rsid w:val="008457E4"/>
    <w:rsid w:val="00846787"/>
    <w:rsid w:val="00853D07"/>
    <w:rsid w:val="00854C7E"/>
    <w:rsid w:val="00856D9C"/>
    <w:rsid w:val="00860FB8"/>
    <w:rsid w:val="0086103E"/>
    <w:rsid w:val="008679DA"/>
    <w:rsid w:val="0087230F"/>
    <w:rsid w:val="0087456F"/>
    <w:rsid w:val="00876FC5"/>
    <w:rsid w:val="008816A4"/>
    <w:rsid w:val="00881D82"/>
    <w:rsid w:val="00882696"/>
    <w:rsid w:val="008830A7"/>
    <w:rsid w:val="00883A15"/>
    <w:rsid w:val="00885426"/>
    <w:rsid w:val="00895394"/>
    <w:rsid w:val="008A3EE5"/>
    <w:rsid w:val="008A4ED2"/>
    <w:rsid w:val="008C5F27"/>
    <w:rsid w:val="008D45A6"/>
    <w:rsid w:val="008E4B83"/>
    <w:rsid w:val="008E4E08"/>
    <w:rsid w:val="008E5AB7"/>
    <w:rsid w:val="008F1E2F"/>
    <w:rsid w:val="008F5A11"/>
    <w:rsid w:val="00900188"/>
    <w:rsid w:val="00912669"/>
    <w:rsid w:val="00915521"/>
    <w:rsid w:val="00917CC7"/>
    <w:rsid w:val="009332AA"/>
    <w:rsid w:val="0094031A"/>
    <w:rsid w:val="00941EAD"/>
    <w:rsid w:val="00952292"/>
    <w:rsid w:val="00954AB5"/>
    <w:rsid w:val="00957D31"/>
    <w:rsid w:val="009630C9"/>
    <w:rsid w:val="00980610"/>
    <w:rsid w:val="00982F72"/>
    <w:rsid w:val="0098619E"/>
    <w:rsid w:val="00986B0E"/>
    <w:rsid w:val="009940FD"/>
    <w:rsid w:val="00996600"/>
    <w:rsid w:val="00997C0E"/>
    <w:rsid w:val="009A6728"/>
    <w:rsid w:val="009A7312"/>
    <w:rsid w:val="009B1124"/>
    <w:rsid w:val="009B15AE"/>
    <w:rsid w:val="009B6EFA"/>
    <w:rsid w:val="009C5E33"/>
    <w:rsid w:val="009C7D14"/>
    <w:rsid w:val="009D3803"/>
    <w:rsid w:val="009D3DCC"/>
    <w:rsid w:val="009E1AA4"/>
    <w:rsid w:val="009F2BD8"/>
    <w:rsid w:val="009F4B65"/>
    <w:rsid w:val="009F71EB"/>
    <w:rsid w:val="00A05B2F"/>
    <w:rsid w:val="00A05DF1"/>
    <w:rsid w:val="00A15A8D"/>
    <w:rsid w:val="00A21609"/>
    <w:rsid w:val="00A37D77"/>
    <w:rsid w:val="00A50229"/>
    <w:rsid w:val="00A52D82"/>
    <w:rsid w:val="00A679D7"/>
    <w:rsid w:val="00A67CFC"/>
    <w:rsid w:val="00A70C1F"/>
    <w:rsid w:val="00A76EE0"/>
    <w:rsid w:val="00A8175C"/>
    <w:rsid w:val="00A81EE5"/>
    <w:rsid w:val="00A8333B"/>
    <w:rsid w:val="00A877E6"/>
    <w:rsid w:val="00A9288A"/>
    <w:rsid w:val="00A93AD2"/>
    <w:rsid w:val="00A94E38"/>
    <w:rsid w:val="00AA06A4"/>
    <w:rsid w:val="00AA6734"/>
    <w:rsid w:val="00AB3A2C"/>
    <w:rsid w:val="00AB66AC"/>
    <w:rsid w:val="00AC7270"/>
    <w:rsid w:val="00AD03AA"/>
    <w:rsid w:val="00AD0C72"/>
    <w:rsid w:val="00AD278F"/>
    <w:rsid w:val="00AE21FE"/>
    <w:rsid w:val="00AE320C"/>
    <w:rsid w:val="00AE3A50"/>
    <w:rsid w:val="00AE3AC5"/>
    <w:rsid w:val="00AE5B62"/>
    <w:rsid w:val="00AF0545"/>
    <w:rsid w:val="00AF08C6"/>
    <w:rsid w:val="00AF7D55"/>
    <w:rsid w:val="00B000A0"/>
    <w:rsid w:val="00B13647"/>
    <w:rsid w:val="00B20189"/>
    <w:rsid w:val="00B234A9"/>
    <w:rsid w:val="00B30DC9"/>
    <w:rsid w:val="00B31D0C"/>
    <w:rsid w:val="00B32CE0"/>
    <w:rsid w:val="00B34E91"/>
    <w:rsid w:val="00B4164F"/>
    <w:rsid w:val="00B43A80"/>
    <w:rsid w:val="00B44565"/>
    <w:rsid w:val="00B5177D"/>
    <w:rsid w:val="00B54DCC"/>
    <w:rsid w:val="00B672BC"/>
    <w:rsid w:val="00B7378F"/>
    <w:rsid w:val="00B77F91"/>
    <w:rsid w:val="00B81E76"/>
    <w:rsid w:val="00B837E3"/>
    <w:rsid w:val="00B90ABA"/>
    <w:rsid w:val="00B90D09"/>
    <w:rsid w:val="00B91755"/>
    <w:rsid w:val="00B96CC2"/>
    <w:rsid w:val="00BA33E1"/>
    <w:rsid w:val="00BB7105"/>
    <w:rsid w:val="00BC08BB"/>
    <w:rsid w:val="00BC49F6"/>
    <w:rsid w:val="00BC65D4"/>
    <w:rsid w:val="00BC73E0"/>
    <w:rsid w:val="00BC7FB8"/>
    <w:rsid w:val="00BD0BAB"/>
    <w:rsid w:val="00BE6214"/>
    <w:rsid w:val="00BE78E5"/>
    <w:rsid w:val="00BF183B"/>
    <w:rsid w:val="00BF1A90"/>
    <w:rsid w:val="00C14331"/>
    <w:rsid w:val="00C21E7C"/>
    <w:rsid w:val="00C22308"/>
    <w:rsid w:val="00C23E84"/>
    <w:rsid w:val="00C2430F"/>
    <w:rsid w:val="00C26C68"/>
    <w:rsid w:val="00C311B8"/>
    <w:rsid w:val="00C433DB"/>
    <w:rsid w:val="00C43636"/>
    <w:rsid w:val="00C454F4"/>
    <w:rsid w:val="00C53500"/>
    <w:rsid w:val="00C6073D"/>
    <w:rsid w:val="00C60BAE"/>
    <w:rsid w:val="00C70CCD"/>
    <w:rsid w:val="00C70FF5"/>
    <w:rsid w:val="00C727DF"/>
    <w:rsid w:val="00C75038"/>
    <w:rsid w:val="00C7766B"/>
    <w:rsid w:val="00C80EAF"/>
    <w:rsid w:val="00C83C3B"/>
    <w:rsid w:val="00C90AB8"/>
    <w:rsid w:val="00CA3175"/>
    <w:rsid w:val="00CA6CC8"/>
    <w:rsid w:val="00CA7434"/>
    <w:rsid w:val="00CA74A3"/>
    <w:rsid w:val="00CC05AC"/>
    <w:rsid w:val="00CC23D1"/>
    <w:rsid w:val="00CC7F98"/>
    <w:rsid w:val="00CD2278"/>
    <w:rsid w:val="00CD4863"/>
    <w:rsid w:val="00CE0D30"/>
    <w:rsid w:val="00CE4DCB"/>
    <w:rsid w:val="00CE56B5"/>
    <w:rsid w:val="00CF51F0"/>
    <w:rsid w:val="00D15356"/>
    <w:rsid w:val="00D15D1E"/>
    <w:rsid w:val="00D23A48"/>
    <w:rsid w:val="00D24A08"/>
    <w:rsid w:val="00D33B8C"/>
    <w:rsid w:val="00D37F0E"/>
    <w:rsid w:val="00D46094"/>
    <w:rsid w:val="00D544DB"/>
    <w:rsid w:val="00D5761E"/>
    <w:rsid w:val="00D57F6D"/>
    <w:rsid w:val="00D6389E"/>
    <w:rsid w:val="00D71E01"/>
    <w:rsid w:val="00D72571"/>
    <w:rsid w:val="00D73253"/>
    <w:rsid w:val="00D75920"/>
    <w:rsid w:val="00D821E7"/>
    <w:rsid w:val="00D834B6"/>
    <w:rsid w:val="00D91A93"/>
    <w:rsid w:val="00D9257B"/>
    <w:rsid w:val="00DA06B4"/>
    <w:rsid w:val="00DA0FB0"/>
    <w:rsid w:val="00DA2A11"/>
    <w:rsid w:val="00DB2CA2"/>
    <w:rsid w:val="00DB4B8E"/>
    <w:rsid w:val="00DC221D"/>
    <w:rsid w:val="00DC2AED"/>
    <w:rsid w:val="00DC6676"/>
    <w:rsid w:val="00DD2448"/>
    <w:rsid w:val="00DD5122"/>
    <w:rsid w:val="00DE0582"/>
    <w:rsid w:val="00DE09DA"/>
    <w:rsid w:val="00DE640D"/>
    <w:rsid w:val="00DE7EC0"/>
    <w:rsid w:val="00DF0964"/>
    <w:rsid w:val="00E015F0"/>
    <w:rsid w:val="00E02346"/>
    <w:rsid w:val="00E20C62"/>
    <w:rsid w:val="00E2355A"/>
    <w:rsid w:val="00E23DED"/>
    <w:rsid w:val="00E25E79"/>
    <w:rsid w:val="00E2663D"/>
    <w:rsid w:val="00E37763"/>
    <w:rsid w:val="00E4397E"/>
    <w:rsid w:val="00E43BA7"/>
    <w:rsid w:val="00E611AF"/>
    <w:rsid w:val="00E625AE"/>
    <w:rsid w:val="00E63CC0"/>
    <w:rsid w:val="00E779EC"/>
    <w:rsid w:val="00E8517A"/>
    <w:rsid w:val="00E97A48"/>
    <w:rsid w:val="00EA750E"/>
    <w:rsid w:val="00EB06B6"/>
    <w:rsid w:val="00EB258E"/>
    <w:rsid w:val="00EB5B37"/>
    <w:rsid w:val="00EC168C"/>
    <w:rsid w:val="00EC434B"/>
    <w:rsid w:val="00ED1356"/>
    <w:rsid w:val="00ED3CCA"/>
    <w:rsid w:val="00ED402B"/>
    <w:rsid w:val="00EE29D7"/>
    <w:rsid w:val="00EE40E3"/>
    <w:rsid w:val="00EF0023"/>
    <w:rsid w:val="00EF18C4"/>
    <w:rsid w:val="00EF48D2"/>
    <w:rsid w:val="00EF6A0A"/>
    <w:rsid w:val="00EF6ACE"/>
    <w:rsid w:val="00F100B2"/>
    <w:rsid w:val="00F125FD"/>
    <w:rsid w:val="00F138A0"/>
    <w:rsid w:val="00F16705"/>
    <w:rsid w:val="00F212C3"/>
    <w:rsid w:val="00F250A9"/>
    <w:rsid w:val="00F34F55"/>
    <w:rsid w:val="00F37761"/>
    <w:rsid w:val="00F4316E"/>
    <w:rsid w:val="00F44C73"/>
    <w:rsid w:val="00F44D5B"/>
    <w:rsid w:val="00F4610A"/>
    <w:rsid w:val="00F47823"/>
    <w:rsid w:val="00F604DE"/>
    <w:rsid w:val="00F62403"/>
    <w:rsid w:val="00F64F76"/>
    <w:rsid w:val="00F65FE6"/>
    <w:rsid w:val="00F7008B"/>
    <w:rsid w:val="00F7572B"/>
    <w:rsid w:val="00F76143"/>
    <w:rsid w:val="00F83760"/>
    <w:rsid w:val="00F854BA"/>
    <w:rsid w:val="00F92700"/>
    <w:rsid w:val="00F95354"/>
    <w:rsid w:val="00F97D83"/>
    <w:rsid w:val="00FA0686"/>
    <w:rsid w:val="00FA4FFB"/>
    <w:rsid w:val="00FB5875"/>
    <w:rsid w:val="00FC019E"/>
    <w:rsid w:val="00FC4501"/>
    <w:rsid w:val="00FD62A0"/>
    <w:rsid w:val="00FE10B5"/>
    <w:rsid w:val="00FE5E2E"/>
    <w:rsid w:val="00FE6052"/>
    <w:rsid w:val="00FF2098"/>
    <w:rsid w:val="00FF57E0"/>
    <w:rsid w:val="00FF687F"/>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479079519">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136070956">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95241680">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822</TotalTime>
  <Pages>4</Pages>
  <Words>827</Words>
  <Characters>4549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264</cp:revision>
  <dcterms:created xsi:type="dcterms:W3CDTF">2023-07-27T23:56:00Z</dcterms:created>
  <dcterms:modified xsi:type="dcterms:W3CDTF">2024-10-04T07:03:00Z</dcterms:modified>
</cp:coreProperties>
</file>